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64" w:rsidRDefault="00A05EDC">
      <w:r w:rsidRPr="00D320CE">
        <w:t>Cabinet</w:t>
      </w:r>
      <w:r w:rsidR="00D320CE">
        <w:t xml:space="preserve"> </w:t>
      </w:r>
      <w:r w:rsidRPr="00A05EDC">
        <w:t xml:space="preserve">Meeting to be held on </w:t>
      </w:r>
      <w:r w:rsidR="002677D9">
        <w:t>26 November 2015</w:t>
      </w:r>
    </w:p>
    <w:p w:rsidR="009E1964" w:rsidRDefault="009E1964">
      <w:pPr>
        <w:rPr>
          <w:b/>
        </w:rPr>
      </w:pPr>
      <w:r>
        <w:rPr>
          <w:b/>
        </w:rPr>
        <w:t xml:space="preserve">Report of the </w:t>
      </w:r>
      <w:r w:rsidR="006F434D">
        <w:rPr>
          <w:b/>
        </w:rPr>
        <w:t>Acting</w:t>
      </w:r>
      <w:r w:rsidR="00A71918">
        <w:rPr>
          <w:b/>
        </w:rPr>
        <w:t xml:space="preserve"> Director of Financial Resources</w:t>
      </w:r>
    </w:p>
    <w:p w:rsidR="009E1964" w:rsidRDefault="009E1964"/>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tc>
          <w:tcPr>
            <w:tcW w:w="3402" w:type="dxa"/>
          </w:tcPr>
          <w:p w:rsidR="009E1964" w:rsidRDefault="009E1964">
            <w:pPr>
              <w:pStyle w:val="BodyText"/>
            </w:pPr>
            <w:r>
              <w:t>Electoral Division</w:t>
            </w:r>
            <w:r w:rsidR="00A05EDC">
              <w:t>s</w:t>
            </w:r>
            <w:r>
              <w:t xml:space="preserve"> affected:</w:t>
            </w:r>
          </w:p>
          <w:p w:rsidR="009E1964" w:rsidRDefault="009E1964">
            <w:pPr>
              <w:ind w:right="-250"/>
              <w:rPr>
                <w:u w:val="single"/>
              </w:rPr>
            </w:pPr>
            <w:r>
              <w:t>All</w:t>
            </w:r>
          </w:p>
        </w:tc>
      </w:tr>
    </w:tbl>
    <w:p w:rsidR="00326792" w:rsidRDefault="00326792">
      <w:pPr>
        <w:rPr>
          <w:b/>
          <w:u w:val="single"/>
        </w:rPr>
      </w:pPr>
    </w:p>
    <w:p w:rsidR="007E69F5" w:rsidRPr="00BA537C" w:rsidRDefault="009E1964" w:rsidP="007E69F5">
      <w:pPr>
        <w:rPr>
          <w:b/>
        </w:rPr>
      </w:pPr>
      <w:r w:rsidRPr="00BA537C">
        <w:rPr>
          <w:rFonts w:cs="Arial"/>
          <w:b/>
          <w:szCs w:val="24"/>
        </w:rPr>
        <w:t xml:space="preserve">Money Matters </w:t>
      </w:r>
      <w:r w:rsidR="007E69F5">
        <w:rPr>
          <w:rFonts w:cs="Arial"/>
          <w:b/>
          <w:szCs w:val="24"/>
        </w:rPr>
        <w:t>–</w:t>
      </w:r>
      <w:r w:rsidRPr="00BA537C">
        <w:rPr>
          <w:rFonts w:cs="Arial"/>
          <w:b/>
          <w:szCs w:val="24"/>
        </w:rPr>
        <w:t xml:space="preserve"> </w:t>
      </w:r>
      <w:r w:rsidR="00413909">
        <w:rPr>
          <w:rFonts w:cs="Arial"/>
          <w:b/>
          <w:szCs w:val="24"/>
        </w:rPr>
        <w:t xml:space="preserve">The Financial Strategy for </w:t>
      </w:r>
      <w:r w:rsidR="007E69F5">
        <w:rPr>
          <w:rFonts w:cs="Arial"/>
          <w:b/>
          <w:szCs w:val="24"/>
        </w:rPr>
        <w:t>201</w:t>
      </w:r>
      <w:r w:rsidR="000814D4">
        <w:rPr>
          <w:rFonts w:cs="Arial"/>
          <w:b/>
          <w:szCs w:val="24"/>
        </w:rPr>
        <w:t>6/17 to</w:t>
      </w:r>
      <w:r w:rsidR="00413909">
        <w:rPr>
          <w:rFonts w:cs="Arial"/>
          <w:b/>
          <w:szCs w:val="24"/>
        </w:rPr>
        <w:t xml:space="preserve"> 20</w:t>
      </w:r>
      <w:r w:rsidR="005053CE">
        <w:rPr>
          <w:rFonts w:cs="Arial"/>
          <w:b/>
          <w:szCs w:val="24"/>
        </w:rPr>
        <w:t>20</w:t>
      </w:r>
      <w:r w:rsidR="00413909">
        <w:rPr>
          <w:rFonts w:cs="Arial"/>
          <w:b/>
          <w:szCs w:val="24"/>
        </w:rPr>
        <w:t>/</w:t>
      </w:r>
      <w:r w:rsidR="005053CE">
        <w:rPr>
          <w:rFonts w:cs="Arial"/>
          <w:b/>
          <w:szCs w:val="24"/>
        </w:rPr>
        <w:t>21</w:t>
      </w:r>
    </w:p>
    <w:p w:rsidR="007E69F5" w:rsidRDefault="00A24D98" w:rsidP="007E69F5">
      <w:pPr>
        <w:ind w:left="709" w:hanging="709"/>
      </w:pPr>
      <w:r>
        <w:t>(Appendices 'A', 'B', C</w:t>
      </w:r>
      <w:r w:rsidR="000221C5">
        <w:t>',</w:t>
      </w:r>
      <w:r w:rsidR="007E69F5">
        <w:t xml:space="preserve"> '</w:t>
      </w:r>
      <w:r>
        <w:t>D</w:t>
      </w:r>
      <w:r w:rsidR="007E69F5">
        <w:t xml:space="preserve">' </w:t>
      </w:r>
      <w:r w:rsidR="000221C5">
        <w:t xml:space="preserve">and 'E' </w:t>
      </w:r>
      <w:r w:rsidR="007E69F5">
        <w:t>refer)</w:t>
      </w:r>
    </w:p>
    <w:p w:rsidR="007E69F5" w:rsidRDefault="007E69F5"/>
    <w:p w:rsidR="009E1964" w:rsidRDefault="009E1964">
      <w:pPr>
        <w:ind w:right="-873"/>
      </w:pPr>
      <w:r>
        <w:t xml:space="preserve">Contact for further information: </w:t>
      </w:r>
    </w:p>
    <w:p w:rsidR="009E1964" w:rsidRDefault="002677D9">
      <w:pPr>
        <w:ind w:right="-873"/>
      </w:pPr>
      <w:r>
        <w:t>Neil Kissock</w:t>
      </w:r>
      <w:r w:rsidR="00A05EDC">
        <w:t xml:space="preserve">, </w:t>
      </w:r>
      <w:r w:rsidR="00A71918">
        <w:t>(01772</w:t>
      </w:r>
      <w:r w:rsidR="00A05EDC">
        <w:t xml:space="preserve">) 534715, </w:t>
      </w:r>
      <w:r w:rsidR="00C16426">
        <w:t>Acting</w:t>
      </w:r>
      <w:r w:rsidR="00A05EDC">
        <w:t xml:space="preserve"> Director of Financial Resources</w:t>
      </w:r>
      <w:r w:rsidR="009E1964">
        <w:t xml:space="preserve"> </w:t>
      </w:r>
    </w:p>
    <w:p w:rsidR="009E1964" w:rsidRDefault="00A56F70" w:rsidP="009A3360">
      <w:pPr>
        <w:ind w:right="-873"/>
      </w:pPr>
      <w:hyperlink r:id="rId8" w:history="1">
        <w:r w:rsidR="002677D9" w:rsidRPr="005F5F2B">
          <w:rPr>
            <w:rStyle w:val="Hyperlink"/>
          </w:rPr>
          <w:t>neil.kissock@lancashire.gov.uk</w:t>
        </w:r>
      </w:hyperlink>
      <w:r w:rsidR="009A3360">
        <w:t xml:space="preserve"> </w:t>
      </w:r>
    </w:p>
    <w:p w:rsidR="00450330" w:rsidRDefault="000221C5" w:rsidP="009A3360">
      <w:pPr>
        <w:ind w:right="-873"/>
      </w:pPr>
      <w:r>
        <w:rPr>
          <w:noProof/>
        </w:rPr>
        <w:drawing>
          <wp:anchor distT="0" distB="0" distL="114300" distR="114300" simplePos="0" relativeHeight="251658240" behindDoc="1" locked="0" layoutInCell="1" allowOverlap="1" wp14:anchorId="62A3508D" wp14:editId="2E5611CE">
            <wp:simplePos x="0" y="0"/>
            <wp:positionH relativeFrom="margin">
              <wp:align>right</wp:align>
            </wp:positionH>
            <wp:positionV relativeFrom="paragraph">
              <wp:posOffset>6639560</wp:posOffset>
            </wp:positionV>
            <wp:extent cx="1120140" cy="541020"/>
            <wp:effectExtent l="0" t="0" r="3810" b="0"/>
            <wp:wrapNone/>
            <wp:docPr id="2" name="Picture 2"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E1964" w:rsidTr="00A05EDC">
        <w:tc>
          <w:tcPr>
            <w:tcW w:w="9017" w:type="dxa"/>
          </w:tcPr>
          <w:p w:rsidR="009E1964" w:rsidRDefault="009E1964" w:rsidP="001E0127">
            <w:pPr>
              <w:rPr>
                <w:b/>
                <w:u w:val="single"/>
              </w:rPr>
            </w:pPr>
          </w:p>
          <w:p w:rsidR="009E1964" w:rsidRDefault="009E1964" w:rsidP="001E0127">
            <w:pPr>
              <w:pStyle w:val="Heading6"/>
              <w:rPr>
                <w:rFonts w:ascii="Arial" w:hAnsi="Arial"/>
              </w:rPr>
            </w:pPr>
            <w:r>
              <w:rPr>
                <w:rFonts w:ascii="Arial" w:hAnsi="Arial"/>
              </w:rPr>
              <w:t>Executive Summary</w:t>
            </w:r>
          </w:p>
          <w:p w:rsidR="005E67F5" w:rsidRDefault="005E67F5" w:rsidP="001E0127">
            <w:pPr>
              <w:pStyle w:val="Body1"/>
              <w:spacing w:after="0" w:line="240" w:lineRule="auto"/>
              <w:jc w:val="both"/>
              <w:rPr>
                <w:rFonts w:hAnsi="Arial Unicode MS"/>
              </w:rPr>
            </w:pPr>
          </w:p>
          <w:p w:rsidR="007E69F5" w:rsidRDefault="007E69F5" w:rsidP="001E0127">
            <w:pPr>
              <w:ind w:right="125"/>
              <w:jc w:val="both"/>
            </w:pPr>
            <w:r>
              <w:t xml:space="preserve">This report provides </w:t>
            </w:r>
            <w:r w:rsidR="00413909">
              <w:t xml:space="preserve">an update of </w:t>
            </w:r>
            <w:r>
              <w:t xml:space="preserve">the </w:t>
            </w:r>
            <w:r w:rsidR="00413909">
              <w:t xml:space="preserve">forecast outturn </w:t>
            </w:r>
            <w:r>
              <w:t xml:space="preserve">Financial Position </w:t>
            </w:r>
            <w:r w:rsidR="00413909">
              <w:t xml:space="preserve">for 2015/16 on revenue and capital </w:t>
            </w:r>
            <w:r>
              <w:t>as at 30</w:t>
            </w:r>
            <w:r w:rsidR="008D5F59" w:rsidRPr="008D5F59">
              <w:rPr>
                <w:vertAlign w:val="superscript"/>
              </w:rPr>
              <w:t>th</w:t>
            </w:r>
            <w:r w:rsidR="008D5F59">
              <w:t xml:space="preserve"> </w:t>
            </w:r>
            <w:r w:rsidR="00A279DD">
              <w:t>September</w:t>
            </w:r>
            <w:r>
              <w:t xml:space="preserve"> 2015, the </w:t>
            </w:r>
            <w:r w:rsidR="000D5720">
              <w:t xml:space="preserve">County Council's </w:t>
            </w:r>
            <w:r>
              <w:t>updated Medium Term Financial Strategy</w:t>
            </w:r>
            <w:r w:rsidR="000D5720">
              <w:t xml:space="preserve"> for the period 2016/17 to 2020/21</w:t>
            </w:r>
            <w:r w:rsidR="00413909">
              <w:t xml:space="preserve"> and </w:t>
            </w:r>
            <w:r w:rsidR="00BD35AA">
              <w:t xml:space="preserve">both </w:t>
            </w:r>
            <w:r w:rsidR="00413909">
              <w:t>initial budget proposals and longer-term approach to the financial sustainability of the Council</w:t>
            </w:r>
            <w:r>
              <w:t>.</w:t>
            </w:r>
          </w:p>
          <w:p w:rsidR="00BD35AA" w:rsidRDefault="00BD35AA" w:rsidP="001E0127">
            <w:pPr>
              <w:ind w:right="125"/>
              <w:jc w:val="both"/>
            </w:pPr>
          </w:p>
          <w:p w:rsidR="00BD35AA" w:rsidRDefault="00BD35AA" w:rsidP="00AD6937">
            <w:pPr>
              <w:pStyle w:val="NoSpacing"/>
              <w:jc w:val="both"/>
              <w:rPr>
                <w:rFonts w:ascii="Arial" w:hAnsi="Arial" w:cs="Arial"/>
                <w:sz w:val="24"/>
                <w:szCs w:val="24"/>
              </w:rPr>
            </w:pPr>
            <w:r>
              <w:rPr>
                <w:rFonts w:ascii="Arial" w:hAnsi="Arial" w:cs="Arial"/>
                <w:sz w:val="24"/>
                <w:szCs w:val="24"/>
              </w:rPr>
              <w:t xml:space="preserve">The County Council is facing an unprecedented financial challenge.  The </w:t>
            </w:r>
            <w:r w:rsidR="00AD6937">
              <w:rPr>
                <w:rFonts w:ascii="Arial" w:hAnsi="Arial" w:cs="Arial"/>
                <w:sz w:val="24"/>
                <w:szCs w:val="24"/>
              </w:rPr>
              <w:t xml:space="preserve">updated </w:t>
            </w:r>
            <w:r>
              <w:rPr>
                <w:rFonts w:ascii="Arial" w:hAnsi="Arial" w:cs="Arial"/>
                <w:sz w:val="24"/>
                <w:szCs w:val="24"/>
              </w:rPr>
              <w:t xml:space="preserve">Medium Term Financial Strategy forecasts that the council will have a financial </w:t>
            </w:r>
            <w:r w:rsidRPr="00F77791">
              <w:rPr>
                <w:rFonts w:ascii="Arial" w:hAnsi="Arial" w:cs="Arial"/>
                <w:sz w:val="24"/>
                <w:szCs w:val="24"/>
              </w:rPr>
              <w:t>shortfall of £262m in 2020/21.  This a combination of reducing resources</w:t>
            </w:r>
            <w:r w:rsidR="00F77791" w:rsidRPr="00F77791">
              <w:rPr>
                <w:rFonts w:ascii="Arial" w:hAnsi="Arial" w:cs="Arial"/>
                <w:sz w:val="24"/>
                <w:szCs w:val="24"/>
              </w:rPr>
              <w:t xml:space="preserve"> </w:t>
            </w:r>
            <w:r w:rsidR="00F77791" w:rsidRPr="00F77791">
              <w:rPr>
                <w:rFonts w:ascii="Arial" w:eastAsia="Calibri" w:hAnsi="Arial" w:cs="Arial"/>
                <w:color w:val="000000"/>
                <w:sz w:val="24"/>
                <w:szCs w:val="24"/>
              </w:rPr>
              <w:t>as a result of the government's extended programme of austerity</w:t>
            </w:r>
            <w:r w:rsidR="00F77791">
              <w:rPr>
                <w:rFonts w:ascii="Arial" w:hAnsi="Arial" w:cs="Arial"/>
                <w:sz w:val="24"/>
                <w:szCs w:val="24"/>
              </w:rPr>
              <w:t xml:space="preserve"> </w:t>
            </w:r>
            <w:r>
              <w:rPr>
                <w:rFonts w:ascii="Arial" w:hAnsi="Arial" w:cs="Arial"/>
                <w:sz w:val="24"/>
                <w:szCs w:val="24"/>
              </w:rPr>
              <w:t xml:space="preserve">at the same time as the Council is </w:t>
            </w:r>
            <w:r w:rsidRPr="00BD35AA">
              <w:rPr>
                <w:rFonts w:ascii="Arial" w:hAnsi="Arial" w:cs="Arial"/>
                <w:sz w:val="24"/>
                <w:szCs w:val="24"/>
              </w:rPr>
              <w:t xml:space="preserve">facing </w:t>
            </w:r>
            <w:r w:rsidR="00AD6937">
              <w:rPr>
                <w:rFonts w:ascii="Arial" w:hAnsi="Arial" w:cs="Arial"/>
                <w:sz w:val="24"/>
                <w:szCs w:val="24"/>
              </w:rPr>
              <w:t xml:space="preserve">significant </w:t>
            </w:r>
            <w:r w:rsidRPr="00BD35AA">
              <w:rPr>
                <w:rFonts w:ascii="Arial" w:hAnsi="Arial" w:cs="Arial"/>
                <w:sz w:val="24"/>
                <w:szCs w:val="24"/>
              </w:rPr>
              <w:t xml:space="preserve">increases in both </w:t>
            </w:r>
            <w:r>
              <w:rPr>
                <w:rFonts w:ascii="Arial" w:hAnsi="Arial" w:cs="Arial"/>
                <w:sz w:val="24"/>
                <w:szCs w:val="24"/>
              </w:rPr>
              <w:t xml:space="preserve">the </w:t>
            </w:r>
            <w:r w:rsidRPr="00BD35AA">
              <w:rPr>
                <w:rFonts w:ascii="Arial" w:hAnsi="Arial" w:cs="Arial"/>
                <w:sz w:val="24"/>
                <w:szCs w:val="24"/>
              </w:rPr>
              <w:t>cost (for example, as a result of inflation</w:t>
            </w:r>
            <w:r w:rsidR="00AD6937">
              <w:rPr>
                <w:rFonts w:ascii="Arial" w:hAnsi="Arial" w:cs="Arial"/>
                <w:sz w:val="24"/>
                <w:szCs w:val="24"/>
              </w:rPr>
              <w:t xml:space="preserve"> and national living wage</w:t>
            </w:r>
            <w:r w:rsidRPr="00BD35AA">
              <w:rPr>
                <w:rFonts w:ascii="Arial" w:hAnsi="Arial" w:cs="Arial"/>
                <w:sz w:val="24"/>
                <w:szCs w:val="24"/>
              </w:rPr>
              <w:t>) and the level of demand for its services.</w:t>
            </w:r>
            <w:r>
              <w:rPr>
                <w:rFonts w:ascii="Arial" w:hAnsi="Arial" w:cs="Arial"/>
                <w:sz w:val="24"/>
                <w:szCs w:val="24"/>
              </w:rPr>
              <w:t xml:space="preserve">  Over the five years 2016/17 to 2020/21 the Council is facing the need to make savings of £262m on top of those already agreed within previous budget processes.</w:t>
            </w:r>
          </w:p>
          <w:p w:rsidR="00BD35AA" w:rsidRDefault="00BD35AA" w:rsidP="00BD35AA">
            <w:pPr>
              <w:pStyle w:val="NoSpacing"/>
              <w:rPr>
                <w:rFonts w:ascii="Arial" w:hAnsi="Arial" w:cs="Arial"/>
                <w:sz w:val="24"/>
                <w:szCs w:val="24"/>
              </w:rPr>
            </w:pPr>
            <w:r>
              <w:rPr>
                <w:rFonts w:ascii="Arial" w:hAnsi="Arial" w:cs="Arial"/>
                <w:sz w:val="24"/>
                <w:szCs w:val="24"/>
              </w:rPr>
              <w:t xml:space="preserve"> </w:t>
            </w:r>
          </w:p>
          <w:p w:rsidR="00BD35AA" w:rsidRDefault="00BD35AA" w:rsidP="00AD6937">
            <w:pPr>
              <w:pStyle w:val="NoSpacing"/>
              <w:jc w:val="both"/>
              <w:rPr>
                <w:rFonts w:ascii="Arial" w:hAnsi="Arial" w:cs="Arial"/>
                <w:sz w:val="24"/>
                <w:szCs w:val="24"/>
              </w:rPr>
            </w:pPr>
            <w:r>
              <w:rPr>
                <w:rFonts w:ascii="Arial" w:hAnsi="Arial" w:cs="Arial"/>
                <w:sz w:val="24"/>
                <w:szCs w:val="24"/>
              </w:rPr>
              <w:t>The Base Budget Review analysis has demonstrated that from April 2018 the council will not have sufficient financial resources to meet its statutory obligations.  The Review has also indicated that the 2016/17 and 2017/18 budgets will need to rely heavily on reserves in order to set a balanced budget.</w:t>
            </w:r>
          </w:p>
          <w:p w:rsidR="00BD35AA" w:rsidRDefault="00BD35AA" w:rsidP="00BD35AA">
            <w:pPr>
              <w:pStyle w:val="NoSpacing"/>
              <w:rPr>
                <w:rFonts w:ascii="Arial" w:hAnsi="Arial" w:cs="Arial"/>
                <w:sz w:val="24"/>
                <w:szCs w:val="24"/>
              </w:rPr>
            </w:pPr>
          </w:p>
          <w:p w:rsidR="00F77791" w:rsidRDefault="00BD35AA" w:rsidP="00F77791">
            <w:pPr>
              <w:pStyle w:val="NoSpacing"/>
              <w:jc w:val="both"/>
              <w:rPr>
                <w:rFonts w:ascii="Arial" w:hAnsi="Arial" w:cs="Arial"/>
                <w:sz w:val="24"/>
                <w:szCs w:val="24"/>
              </w:rPr>
            </w:pPr>
            <w:r>
              <w:rPr>
                <w:rFonts w:ascii="Arial" w:hAnsi="Arial" w:cs="Arial"/>
                <w:sz w:val="24"/>
                <w:szCs w:val="24"/>
              </w:rPr>
              <w:t>The Chancellor’s Autumn Statement has the potential to add to this financial challenge, as Local Government expenditure is an unprotected area within the Comprehensive Spending Review (CSR).</w:t>
            </w:r>
          </w:p>
          <w:p w:rsidR="00F77791" w:rsidRDefault="00F77791" w:rsidP="00F77791">
            <w:pPr>
              <w:pStyle w:val="NoSpacing"/>
              <w:jc w:val="both"/>
              <w:rPr>
                <w:rFonts w:ascii="Arial" w:hAnsi="Arial" w:cs="Arial"/>
                <w:sz w:val="24"/>
                <w:szCs w:val="24"/>
              </w:rPr>
            </w:pPr>
          </w:p>
          <w:p w:rsidR="007E69F5" w:rsidRPr="00F77791" w:rsidRDefault="007E69F5" w:rsidP="00F77791">
            <w:pPr>
              <w:pStyle w:val="NoSpacing"/>
              <w:jc w:val="both"/>
              <w:rPr>
                <w:rFonts w:ascii="Arial" w:hAnsi="Arial" w:cs="Arial"/>
                <w:sz w:val="24"/>
                <w:szCs w:val="24"/>
                <w:u w:val="single"/>
              </w:rPr>
            </w:pPr>
            <w:r w:rsidRPr="00F77791">
              <w:rPr>
                <w:rFonts w:ascii="Arial" w:hAnsi="Arial" w:cs="Arial"/>
                <w:sz w:val="24"/>
                <w:szCs w:val="24"/>
                <w:u w:val="single"/>
              </w:rPr>
              <w:t>Financial Position as at 30</w:t>
            </w:r>
            <w:r w:rsidR="00275E43" w:rsidRPr="00F77791">
              <w:rPr>
                <w:rFonts w:ascii="Arial" w:hAnsi="Arial" w:cs="Arial"/>
                <w:sz w:val="24"/>
                <w:szCs w:val="24"/>
                <w:u w:val="single"/>
                <w:vertAlign w:val="superscript"/>
              </w:rPr>
              <w:t>th</w:t>
            </w:r>
            <w:r w:rsidR="00275E43" w:rsidRPr="00F77791">
              <w:rPr>
                <w:rFonts w:ascii="Arial" w:hAnsi="Arial" w:cs="Arial"/>
                <w:sz w:val="24"/>
                <w:szCs w:val="24"/>
                <w:u w:val="single"/>
              </w:rPr>
              <w:t xml:space="preserve"> </w:t>
            </w:r>
            <w:r w:rsidR="00A279DD" w:rsidRPr="00F77791">
              <w:rPr>
                <w:rFonts w:ascii="Arial" w:hAnsi="Arial" w:cs="Arial"/>
                <w:sz w:val="24"/>
                <w:szCs w:val="24"/>
                <w:u w:val="single"/>
              </w:rPr>
              <w:t>September</w:t>
            </w:r>
            <w:r w:rsidRPr="00F77791">
              <w:rPr>
                <w:rFonts w:ascii="Arial" w:hAnsi="Arial" w:cs="Arial"/>
                <w:sz w:val="24"/>
                <w:szCs w:val="24"/>
                <w:u w:val="single"/>
              </w:rPr>
              <w:t xml:space="preserve"> 2015</w:t>
            </w:r>
          </w:p>
          <w:p w:rsidR="00941776" w:rsidRPr="005B135F" w:rsidRDefault="00941776" w:rsidP="001E0127">
            <w:pPr>
              <w:ind w:right="125"/>
              <w:jc w:val="both"/>
              <w:rPr>
                <w:highlight w:val="yellow"/>
              </w:rPr>
            </w:pPr>
          </w:p>
          <w:p w:rsidR="00472BB8" w:rsidRPr="00744ED3" w:rsidRDefault="002C2A26" w:rsidP="001E0127">
            <w:pPr>
              <w:ind w:right="125"/>
              <w:jc w:val="both"/>
              <w:outlineLvl w:val="0"/>
              <w:rPr>
                <w:rFonts w:cs="Arial"/>
              </w:rPr>
            </w:pPr>
            <w:proofErr w:type="gramStart"/>
            <w:r w:rsidRPr="00472BB8">
              <w:rPr>
                <w:rFonts w:cs="Arial"/>
                <w:color w:val="000000"/>
                <w:u w:color="000000"/>
              </w:rPr>
              <w:t>An</w:t>
            </w:r>
            <w:r w:rsidR="00266BB3">
              <w:rPr>
                <w:rFonts w:cs="Arial"/>
                <w:color w:val="000000"/>
                <w:u w:color="000000"/>
              </w:rPr>
              <w:t xml:space="preserve"> </w:t>
            </w:r>
            <w:r w:rsidR="007E69F5">
              <w:rPr>
                <w:rFonts w:cs="Arial"/>
                <w:color w:val="000000"/>
                <w:u w:color="000000"/>
              </w:rPr>
              <w:t>over</w:t>
            </w:r>
            <w:r w:rsidR="004D6E5E" w:rsidRPr="00472BB8">
              <w:rPr>
                <w:rFonts w:cs="Arial"/>
                <w:color w:val="000000"/>
                <w:u w:color="000000"/>
              </w:rPr>
              <w:t>spend</w:t>
            </w:r>
            <w:proofErr w:type="gramEnd"/>
            <w:r w:rsidR="004D6E5E" w:rsidRPr="00472BB8">
              <w:rPr>
                <w:rFonts w:cs="Arial"/>
                <w:color w:val="000000"/>
                <w:u w:color="000000"/>
              </w:rPr>
              <w:t xml:space="preserve"> </w:t>
            </w:r>
            <w:r w:rsidR="00B259B8">
              <w:rPr>
                <w:rFonts w:cs="Arial"/>
                <w:color w:val="000000"/>
                <w:u w:color="000000"/>
              </w:rPr>
              <w:t xml:space="preserve">is </w:t>
            </w:r>
            <w:r w:rsidR="00413909">
              <w:rPr>
                <w:rFonts w:cs="Arial"/>
                <w:color w:val="000000"/>
                <w:u w:color="000000"/>
              </w:rPr>
              <w:t xml:space="preserve">currently </w:t>
            </w:r>
            <w:r w:rsidR="00B259B8">
              <w:rPr>
                <w:rFonts w:cs="Arial"/>
                <w:color w:val="000000"/>
                <w:u w:color="000000"/>
              </w:rPr>
              <w:t xml:space="preserve">forecast </w:t>
            </w:r>
            <w:r w:rsidR="004D6E5E" w:rsidRPr="00472BB8">
              <w:rPr>
                <w:rFonts w:cs="Arial"/>
                <w:color w:val="000000"/>
                <w:u w:color="000000"/>
              </w:rPr>
              <w:t xml:space="preserve">on </w:t>
            </w:r>
            <w:r w:rsidR="00941776" w:rsidRPr="00472BB8">
              <w:rPr>
                <w:rFonts w:cs="Arial"/>
                <w:color w:val="000000"/>
                <w:u w:color="000000"/>
              </w:rPr>
              <w:t>the revenue budget of</w:t>
            </w:r>
            <w:r w:rsidR="004D6E5E" w:rsidRPr="00472BB8">
              <w:rPr>
                <w:rFonts w:cs="Arial"/>
                <w:color w:val="000000"/>
                <w:u w:color="000000"/>
              </w:rPr>
              <w:t xml:space="preserve"> </w:t>
            </w:r>
            <w:r w:rsidR="004E70ED">
              <w:rPr>
                <w:rFonts w:cs="Arial"/>
                <w:color w:val="000000"/>
                <w:u w:color="000000"/>
              </w:rPr>
              <w:t>£</w:t>
            </w:r>
            <w:r w:rsidR="00896316">
              <w:rPr>
                <w:rFonts w:cs="Arial"/>
                <w:color w:val="000000"/>
                <w:u w:color="000000"/>
              </w:rPr>
              <w:t>19.666</w:t>
            </w:r>
            <w:r w:rsidRPr="00472BB8">
              <w:rPr>
                <w:rFonts w:cs="Arial"/>
                <w:color w:val="000000"/>
                <w:u w:color="000000"/>
              </w:rPr>
              <w:t>m</w:t>
            </w:r>
            <w:r w:rsidR="008B411F">
              <w:rPr>
                <w:rFonts w:cs="Arial"/>
                <w:color w:val="000000"/>
                <w:u w:color="000000"/>
              </w:rPr>
              <w:t xml:space="preserve">. This is </w:t>
            </w:r>
            <w:r w:rsidR="008D5F59">
              <w:rPr>
                <w:rFonts w:cs="Arial"/>
                <w:color w:val="000000"/>
                <w:u w:color="000000"/>
              </w:rPr>
              <w:t>due</w:t>
            </w:r>
            <w:r w:rsidR="007E69F5">
              <w:rPr>
                <w:rFonts w:cs="Arial"/>
                <w:color w:val="000000"/>
                <w:u w:color="000000"/>
              </w:rPr>
              <w:t xml:space="preserve"> to</w:t>
            </w:r>
            <w:r w:rsidR="009E640F">
              <w:rPr>
                <w:rFonts w:cs="Arial"/>
                <w:color w:val="000000"/>
                <w:u w:color="000000"/>
              </w:rPr>
              <w:t xml:space="preserve"> a</w:t>
            </w:r>
            <w:r w:rsidR="009E640F">
              <w:rPr>
                <w:rFonts w:cs="Arial"/>
                <w:szCs w:val="24"/>
              </w:rPr>
              <w:t xml:space="preserve"> base budget pressure</w:t>
            </w:r>
            <w:r w:rsidR="008B411F">
              <w:rPr>
                <w:rFonts w:cs="Arial"/>
                <w:szCs w:val="24"/>
              </w:rPr>
              <w:t xml:space="preserve"> from 2014/15 of</w:t>
            </w:r>
            <w:r w:rsidR="00C90F3B">
              <w:rPr>
                <w:rFonts w:cs="Arial"/>
                <w:szCs w:val="24"/>
              </w:rPr>
              <w:t xml:space="preserve"> £</w:t>
            </w:r>
            <w:r w:rsidR="00896316">
              <w:rPr>
                <w:rFonts w:cs="Arial"/>
                <w:szCs w:val="24"/>
              </w:rPr>
              <w:t>24.838</w:t>
            </w:r>
            <w:r w:rsidR="008B411F">
              <w:rPr>
                <w:rFonts w:cs="Arial"/>
                <w:szCs w:val="24"/>
              </w:rPr>
              <w:t>m and additional 2015/16 emerging</w:t>
            </w:r>
            <w:r w:rsidR="009E640F">
              <w:rPr>
                <w:rFonts w:cs="Arial"/>
                <w:szCs w:val="24"/>
              </w:rPr>
              <w:t xml:space="preserve"> pressure</w:t>
            </w:r>
            <w:r w:rsidR="008B411F">
              <w:rPr>
                <w:rFonts w:cs="Arial"/>
                <w:szCs w:val="24"/>
              </w:rPr>
              <w:t>s</w:t>
            </w:r>
            <w:r w:rsidR="00336AC0">
              <w:rPr>
                <w:rFonts w:cs="Arial"/>
                <w:szCs w:val="24"/>
              </w:rPr>
              <w:t xml:space="preserve"> of £</w:t>
            </w:r>
            <w:r w:rsidR="00896316">
              <w:rPr>
                <w:rFonts w:cs="Arial"/>
                <w:szCs w:val="24"/>
              </w:rPr>
              <w:t>12.424</w:t>
            </w:r>
            <w:r w:rsidR="00810485">
              <w:rPr>
                <w:rFonts w:cs="Arial"/>
                <w:szCs w:val="24"/>
              </w:rPr>
              <w:t>m. These are</w:t>
            </w:r>
            <w:r w:rsidR="008B411F">
              <w:rPr>
                <w:rFonts w:cs="Arial"/>
                <w:szCs w:val="24"/>
              </w:rPr>
              <w:t xml:space="preserve"> offset by gains of £17.596m. </w:t>
            </w:r>
            <w:r w:rsidR="00810485">
              <w:rPr>
                <w:rFonts w:cs="Arial"/>
                <w:szCs w:val="24"/>
              </w:rPr>
              <w:t>This position is reflected in the Financial O</w:t>
            </w:r>
            <w:r w:rsidR="00993234">
              <w:rPr>
                <w:rFonts w:cs="Arial"/>
                <w:szCs w:val="24"/>
              </w:rPr>
              <w:t>utlook and Medium Term Financial Strategy.</w:t>
            </w:r>
            <w:r w:rsidR="00472BB8" w:rsidRPr="00744ED3">
              <w:rPr>
                <w:rFonts w:eastAsia="TT7DA53o00" w:cs="Arial"/>
              </w:rPr>
              <w:t xml:space="preserve"> </w:t>
            </w:r>
          </w:p>
          <w:p w:rsidR="005818DD" w:rsidRPr="00C01BD4" w:rsidRDefault="005818DD" w:rsidP="001E0127">
            <w:pPr>
              <w:ind w:right="125"/>
              <w:jc w:val="both"/>
              <w:outlineLvl w:val="0"/>
              <w:rPr>
                <w:rFonts w:cs="Arial"/>
                <w:color w:val="000000"/>
                <w:u w:color="000000"/>
              </w:rPr>
            </w:pPr>
          </w:p>
          <w:p w:rsidR="0068670D" w:rsidRDefault="00F01E06" w:rsidP="001E0127">
            <w:pPr>
              <w:ind w:right="125"/>
              <w:rPr>
                <w:u w:val="single"/>
              </w:rPr>
            </w:pPr>
            <w:r>
              <w:rPr>
                <w:u w:val="single"/>
              </w:rPr>
              <w:t>The Financial O</w:t>
            </w:r>
            <w:r w:rsidR="0068670D" w:rsidRPr="0068670D">
              <w:rPr>
                <w:u w:val="single"/>
              </w:rPr>
              <w:t>utlook and Medium Term Financial Strategy</w:t>
            </w:r>
          </w:p>
          <w:p w:rsidR="001E0127" w:rsidRPr="0068670D" w:rsidRDefault="001E0127" w:rsidP="001E0127">
            <w:pPr>
              <w:ind w:right="125"/>
              <w:rPr>
                <w:u w:val="single"/>
              </w:rPr>
            </w:pPr>
          </w:p>
          <w:p w:rsidR="000D5720" w:rsidRPr="000D5720" w:rsidRDefault="002677D9" w:rsidP="001E0127">
            <w:pPr>
              <w:tabs>
                <w:tab w:val="left" w:pos="567"/>
                <w:tab w:val="left" w:pos="1134"/>
              </w:tabs>
              <w:autoSpaceDE w:val="0"/>
              <w:autoSpaceDN w:val="0"/>
              <w:adjustRightInd w:val="0"/>
              <w:jc w:val="both"/>
              <w:rPr>
                <w:rFonts w:eastAsia="Calibri" w:cs="Arial"/>
                <w:color w:val="000000"/>
                <w:szCs w:val="24"/>
                <w:lang w:eastAsia="en-US"/>
              </w:rPr>
            </w:pPr>
            <w:r>
              <w:rPr>
                <w:rFonts w:eastAsia="Calibri" w:cs="Arial"/>
                <w:color w:val="000000"/>
                <w:szCs w:val="24"/>
                <w:lang w:eastAsia="en-US"/>
              </w:rPr>
              <w:lastRenderedPageBreak/>
              <w:t xml:space="preserve">A </w:t>
            </w:r>
            <w:r w:rsidR="00810485">
              <w:rPr>
                <w:rFonts w:eastAsia="Calibri" w:cs="Arial"/>
                <w:color w:val="000000"/>
                <w:szCs w:val="24"/>
                <w:lang w:eastAsia="en-US"/>
              </w:rPr>
              <w:t xml:space="preserve">revised </w:t>
            </w:r>
            <w:r>
              <w:rPr>
                <w:rFonts w:eastAsia="Calibri" w:cs="Arial"/>
                <w:color w:val="000000"/>
                <w:szCs w:val="24"/>
                <w:lang w:eastAsia="en-US"/>
              </w:rPr>
              <w:t>MTFS was presented to Cabinet in August which extended the period covered to 2020/21</w:t>
            </w:r>
            <w:r w:rsidR="00E53735">
              <w:rPr>
                <w:rFonts w:eastAsia="Calibri" w:cs="Arial"/>
                <w:color w:val="000000"/>
                <w:szCs w:val="24"/>
                <w:lang w:eastAsia="en-US"/>
              </w:rPr>
              <w:t xml:space="preserve"> and a funding gap of £223.2m was noted</w:t>
            </w:r>
            <w:r>
              <w:rPr>
                <w:rFonts w:eastAsia="Calibri" w:cs="Arial"/>
                <w:color w:val="000000"/>
                <w:szCs w:val="24"/>
                <w:lang w:eastAsia="en-US"/>
              </w:rPr>
              <w:t>.</w:t>
            </w:r>
            <w:r w:rsidR="00F77791">
              <w:rPr>
                <w:rFonts w:eastAsia="Calibri" w:cs="Arial"/>
                <w:color w:val="000000"/>
                <w:szCs w:val="24"/>
                <w:lang w:eastAsia="en-US"/>
              </w:rPr>
              <w:t xml:space="preserve">  </w:t>
            </w:r>
            <w:r w:rsidR="000D5720" w:rsidRPr="000D5720">
              <w:rPr>
                <w:rFonts w:eastAsia="Calibri" w:cs="Arial"/>
                <w:color w:val="000000"/>
                <w:szCs w:val="24"/>
                <w:lang w:eastAsia="en-US"/>
              </w:rPr>
              <w:t>This report</w:t>
            </w:r>
            <w:r w:rsidR="000D5720">
              <w:rPr>
                <w:rFonts w:eastAsia="Calibri" w:cs="Arial"/>
                <w:color w:val="000000"/>
                <w:szCs w:val="24"/>
                <w:lang w:eastAsia="en-US"/>
              </w:rPr>
              <w:t xml:space="preserve"> has </w:t>
            </w:r>
            <w:r w:rsidR="00810485">
              <w:rPr>
                <w:rFonts w:eastAsia="Calibri" w:cs="Arial"/>
                <w:color w:val="000000"/>
                <w:szCs w:val="24"/>
                <w:lang w:eastAsia="en-US"/>
              </w:rPr>
              <w:t xml:space="preserve">further </w:t>
            </w:r>
            <w:r w:rsidR="000D5720" w:rsidRPr="000D5720">
              <w:rPr>
                <w:rFonts w:eastAsia="Calibri" w:cs="Arial"/>
                <w:color w:val="000000"/>
                <w:szCs w:val="24"/>
                <w:lang w:eastAsia="en-US"/>
              </w:rPr>
              <w:t>revise</w:t>
            </w:r>
            <w:r w:rsidR="000D5720">
              <w:rPr>
                <w:rFonts w:eastAsia="Calibri" w:cs="Arial"/>
                <w:color w:val="000000"/>
                <w:szCs w:val="24"/>
                <w:lang w:eastAsia="en-US"/>
              </w:rPr>
              <w:t>d</w:t>
            </w:r>
            <w:r w:rsidR="000D5720" w:rsidRPr="000D5720">
              <w:rPr>
                <w:rFonts w:eastAsia="Calibri" w:cs="Arial"/>
                <w:color w:val="000000"/>
                <w:szCs w:val="24"/>
                <w:lang w:eastAsia="en-US"/>
              </w:rPr>
              <w:t xml:space="preserve"> the assumptions in the MTFS for expenditure</w:t>
            </w:r>
            <w:r w:rsidR="00E53735">
              <w:rPr>
                <w:rFonts w:eastAsia="Calibri" w:cs="Arial"/>
                <w:color w:val="000000"/>
                <w:szCs w:val="24"/>
                <w:lang w:eastAsia="en-US"/>
              </w:rPr>
              <w:t xml:space="preserve"> in light of later information</w:t>
            </w:r>
            <w:r w:rsidR="00810485">
              <w:rPr>
                <w:rFonts w:eastAsia="Calibri" w:cs="Arial"/>
                <w:color w:val="000000"/>
                <w:szCs w:val="24"/>
                <w:lang w:eastAsia="en-US"/>
              </w:rPr>
              <w:t xml:space="preserve">. </w:t>
            </w:r>
            <w:r w:rsidR="00556419">
              <w:rPr>
                <w:rFonts w:eastAsia="Calibri" w:cs="Arial"/>
                <w:color w:val="000000"/>
                <w:szCs w:val="24"/>
                <w:lang w:eastAsia="en-US"/>
              </w:rPr>
              <w:t xml:space="preserve">The </w:t>
            </w:r>
            <w:r w:rsidR="000D5720">
              <w:rPr>
                <w:rFonts w:eastAsia="Calibri" w:cs="Arial"/>
                <w:color w:val="000000"/>
                <w:szCs w:val="24"/>
                <w:lang w:eastAsia="en-US"/>
              </w:rPr>
              <w:t>funding gap</w:t>
            </w:r>
            <w:r w:rsidR="008C4F31">
              <w:rPr>
                <w:rFonts w:eastAsia="Calibri" w:cs="Arial"/>
                <w:color w:val="000000"/>
                <w:szCs w:val="24"/>
                <w:lang w:eastAsia="en-US"/>
              </w:rPr>
              <w:t xml:space="preserve"> for the period up to 2020/21</w:t>
            </w:r>
            <w:r w:rsidR="000D5720">
              <w:rPr>
                <w:rFonts w:eastAsia="Calibri" w:cs="Arial"/>
                <w:color w:val="000000"/>
                <w:szCs w:val="24"/>
                <w:lang w:eastAsia="en-US"/>
              </w:rPr>
              <w:t xml:space="preserve"> </w:t>
            </w:r>
            <w:r w:rsidR="00556419">
              <w:rPr>
                <w:rFonts w:eastAsia="Calibri" w:cs="Arial"/>
                <w:color w:val="000000"/>
                <w:szCs w:val="24"/>
                <w:lang w:eastAsia="en-US"/>
              </w:rPr>
              <w:t xml:space="preserve">is </w:t>
            </w:r>
            <w:r w:rsidR="00E53735">
              <w:rPr>
                <w:rFonts w:eastAsia="Calibri" w:cs="Arial"/>
                <w:color w:val="000000"/>
                <w:szCs w:val="24"/>
                <w:lang w:eastAsia="en-US"/>
              </w:rPr>
              <w:t>now</w:t>
            </w:r>
            <w:r w:rsidR="008C4F31">
              <w:rPr>
                <w:rFonts w:eastAsia="Calibri" w:cs="Arial"/>
                <w:color w:val="000000"/>
                <w:szCs w:val="24"/>
                <w:lang w:eastAsia="en-US"/>
              </w:rPr>
              <w:t xml:space="preserve"> estimated to be</w:t>
            </w:r>
            <w:r w:rsidR="00E53735">
              <w:rPr>
                <w:rFonts w:eastAsia="Calibri" w:cs="Arial"/>
                <w:color w:val="000000"/>
                <w:szCs w:val="24"/>
                <w:lang w:eastAsia="en-US"/>
              </w:rPr>
              <w:t xml:space="preserve"> </w:t>
            </w:r>
            <w:r w:rsidR="000D5720">
              <w:rPr>
                <w:rFonts w:eastAsia="Calibri" w:cs="Arial"/>
                <w:color w:val="000000"/>
                <w:szCs w:val="24"/>
                <w:lang w:eastAsia="en-US"/>
              </w:rPr>
              <w:t>£2</w:t>
            </w:r>
            <w:r w:rsidR="00E53735">
              <w:rPr>
                <w:rFonts w:eastAsia="Calibri" w:cs="Arial"/>
                <w:color w:val="000000"/>
                <w:szCs w:val="24"/>
                <w:lang w:eastAsia="en-US"/>
              </w:rPr>
              <w:t>6</w:t>
            </w:r>
            <w:r w:rsidR="008C4F31">
              <w:rPr>
                <w:rFonts w:eastAsia="Calibri" w:cs="Arial"/>
                <w:color w:val="000000"/>
                <w:szCs w:val="24"/>
                <w:lang w:eastAsia="en-US"/>
              </w:rPr>
              <w:t>2</w:t>
            </w:r>
            <w:r w:rsidR="000D5720">
              <w:rPr>
                <w:rFonts w:eastAsia="Calibri" w:cs="Arial"/>
                <w:color w:val="000000"/>
                <w:szCs w:val="24"/>
                <w:lang w:eastAsia="en-US"/>
              </w:rPr>
              <w:t>.</w:t>
            </w:r>
            <w:r w:rsidR="00F01E06">
              <w:rPr>
                <w:rFonts w:eastAsia="Calibri" w:cs="Arial"/>
                <w:color w:val="000000"/>
                <w:szCs w:val="24"/>
                <w:lang w:eastAsia="en-US"/>
              </w:rPr>
              <w:t>0</w:t>
            </w:r>
            <w:r w:rsidR="000D5720">
              <w:rPr>
                <w:rFonts w:eastAsia="Calibri" w:cs="Arial"/>
                <w:color w:val="000000"/>
                <w:szCs w:val="24"/>
                <w:lang w:eastAsia="en-US"/>
              </w:rPr>
              <w:t>m</w:t>
            </w:r>
            <w:r w:rsidR="000D5720" w:rsidRPr="000D5720">
              <w:rPr>
                <w:rFonts w:eastAsia="Calibri" w:cs="Arial"/>
                <w:color w:val="000000"/>
                <w:szCs w:val="24"/>
                <w:lang w:eastAsia="en-US"/>
              </w:rPr>
              <w:t>.</w:t>
            </w:r>
          </w:p>
          <w:p w:rsidR="0068670D" w:rsidRPr="0068670D" w:rsidRDefault="0068670D" w:rsidP="001E0127"/>
          <w:p w:rsidR="009E1964" w:rsidRPr="00273CC5" w:rsidRDefault="009E1964" w:rsidP="001E0127">
            <w:pPr>
              <w:pStyle w:val="Heading5"/>
              <w:rPr>
                <w:rFonts w:ascii="Arial" w:hAnsi="Arial"/>
                <w:u w:val="none"/>
              </w:rPr>
            </w:pPr>
            <w:r w:rsidRPr="00273CC5">
              <w:rPr>
                <w:rFonts w:ascii="Arial" w:hAnsi="Arial"/>
                <w:u w:val="none"/>
              </w:rPr>
              <w:t>Recommendation</w:t>
            </w:r>
            <w:r w:rsidR="00A71918">
              <w:rPr>
                <w:rFonts w:ascii="Arial" w:hAnsi="Arial"/>
                <w:u w:val="none"/>
              </w:rPr>
              <w:t>s</w:t>
            </w:r>
          </w:p>
          <w:p w:rsidR="009E1964" w:rsidRPr="005B135F" w:rsidRDefault="009E1964" w:rsidP="001E0127">
            <w:pPr>
              <w:jc w:val="both"/>
              <w:rPr>
                <w:rFonts w:cs="Arial"/>
                <w:szCs w:val="24"/>
                <w:highlight w:val="yellow"/>
              </w:rPr>
            </w:pPr>
          </w:p>
          <w:p w:rsidR="009E1964" w:rsidRPr="00EB78BC" w:rsidRDefault="00D62DE2" w:rsidP="001E0127">
            <w:pPr>
              <w:jc w:val="both"/>
              <w:outlineLvl w:val="0"/>
              <w:rPr>
                <w:rFonts w:cs="Arial"/>
                <w:szCs w:val="24"/>
              </w:rPr>
            </w:pPr>
            <w:r>
              <w:rPr>
                <w:rFonts w:cs="Arial"/>
                <w:szCs w:val="24"/>
              </w:rPr>
              <w:t xml:space="preserve">The </w:t>
            </w:r>
            <w:r w:rsidR="009E1964" w:rsidRPr="00EB78BC">
              <w:rPr>
                <w:rFonts w:cs="Arial"/>
                <w:szCs w:val="24"/>
              </w:rPr>
              <w:t xml:space="preserve">Cabinet is </w:t>
            </w:r>
            <w:r w:rsidR="00BB2062" w:rsidRPr="00EB78BC">
              <w:rPr>
                <w:rFonts w:cs="Arial"/>
                <w:szCs w:val="24"/>
              </w:rPr>
              <w:t xml:space="preserve">asked </w:t>
            </w:r>
            <w:r w:rsidR="009E1964" w:rsidRPr="00EB78BC">
              <w:rPr>
                <w:rFonts w:cs="Arial"/>
                <w:szCs w:val="24"/>
              </w:rPr>
              <w:t xml:space="preserve">to: </w:t>
            </w:r>
          </w:p>
          <w:p w:rsidR="009E1964" w:rsidRPr="00EB78BC" w:rsidRDefault="009E1964" w:rsidP="001E0127">
            <w:pPr>
              <w:jc w:val="both"/>
              <w:outlineLvl w:val="0"/>
              <w:rPr>
                <w:rFonts w:cs="Arial"/>
                <w:szCs w:val="24"/>
              </w:rPr>
            </w:pPr>
          </w:p>
          <w:p w:rsidR="0068670D" w:rsidRDefault="0068670D" w:rsidP="00CF2F78">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No</w:t>
            </w:r>
            <w:r w:rsidR="00896316">
              <w:rPr>
                <w:rFonts w:hAnsi="Arial" w:cs="Arial"/>
                <w:color w:val="auto"/>
                <w:lang w:val="en-GB"/>
              </w:rPr>
              <w:t>te the forecast overspend of £19.666</w:t>
            </w:r>
            <w:r>
              <w:rPr>
                <w:rFonts w:hAnsi="Arial" w:cs="Arial"/>
                <w:color w:val="auto"/>
                <w:lang w:val="en-GB"/>
              </w:rPr>
              <w:t>m on the revenue budget in 2015/16</w:t>
            </w:r>
            <w:r w:rsidR="00896316">
              <w:rPr>
                <w:rFonts w:hAnsi="Arial" w:cs="Arial"/>
                <w:color w:val="auto"/>
                <w:lang w:val="en-GB"/>
              </w:rPr>
              <w:t xml:space="preserve"> </w:t>
            </w:r>
            <w:r w:rsidR="00CF2F78">
              <w:rPr>
                <w:rFonts w:hAnsi="Arial" w:cs="Arial"/>
                <w:color w:val="auto"/>
                <w:lang w:val="en-GB"/>
              </w:rPr>
              <w:t xml:space="preserve"> </w:t>
            </w:r>
            <w:r w:rsidR="00896316">
              <w:rPr>
                <w:rFonts w:hAnsi="Arial" w:cs="Arial"/>
                <w:color w:val="auto"/>
                <w:lang w:val="en-GB"/>
              </w:rPr>
              <w:t>and ongoing pressure of £37.161</w:t>
            </w:r>
            <w:r w:rsidR="005458BC">
              <w:rPr>
                <w:rFonts w:hAnsi="Arial" w:cs="Arial"/>
                <w:color w:val="auto"/>
                <w:lang w:val="en-GB"/>
              </w:rPr>
              <w:t>m</w:t>
            </w:r>
            <w:r w:rsidR="003E6B80">
              <w:rPr>
                <w:rFonts w:hAnsi="Arial" w:cs="Arial"/>
                <w:color w:val="auto"/>
                <w:lang w:val="en-GB"/>
              </w:rPr>
              <w:t>.</w:t>
            </w:r>
          </w:p>
          <w:p w:rsidR="005458BC" w:rsidRDefault="005458BC" w:rsidP="005458BC">
            <w:pPr>
              <w:pStyle w:val="Body"/>
              <w:spacing w:after="0" w:line="240" w:lineRule="auto"/>
              <w:ind w:left="596"/>
              <w:jc w:val="both"/>
              <w:rPr>
                <w:rFonts w:hAnsi="Arial" w:cs="Arial"/>
                <w:color w:val="auto"/>
                <w:lang w:val="en-GB"/>
              </w:rPr>
            </w:pPr>
          </w:p>
          <w:p w:rsidR="00F77791" w:rsidRDefault="00F77791" w:rsidP="00CF2F78">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 xml:space="preserve">Note the revised funding gap of £262.0m </w:t>
            </w:r>
            <w:r w:rsidR="00C16426">
              <w:rPr>
                <w:rFonts w:hAnsi="Arial" w:cs="Arial"/>
                <w:color w:val="auto"/>
                <w:lang w:val="en-GB"/>
              </w:rPr>
              <w:t>covering the period 2016/17 to 20</w:t>
            </w:r>
            <w:r w:rsidR="00283647">
              <w:rPr>
                <w:rFonts w:hAnsi="Arial" w:cs="Arial"/>
                <w:color w:val="auto"/>
                <w:lang w:val="en-GB"/>
              </w:rPr>
              <w:t>2</w:t>
            </w:r>
            <w:r w:rsidR="00C16426">
              <w:rPr>
                <w:rFonts w:hAnsi="Arial" w:cs="Arial"/>
                <w:color w:val="auto"/>
                <w:lang w:val="en-GB"/>
              </w:rPr>
              <w:t xml:space="preserve">0/21 </w:t>
            </w:r>
            <w:r>
              <w:rPr>
                <w:rFonts w:hAnsi="Arial" w:cs="Arial"/>
                <w:color w:val="auto"/>
                <w:lang w:val="en-GB"/>
              </w:rPr>
              <w:t>as set out in the revised financial outlook forecast for the Council.</w:t>
            </w:r>
          </w:p>
          <w:p w:rsidR="00F77791" w:rsidRDefault="00F77791" w:rsidP="00F77791">
            <w:pPr>
              <w:pStyle w:val="ListParagraph"/>
              <w:rPr>
                <w:rFonts w:cs="Arial"/>
              </w:rPr>
            </w:pPr>
          </w:p>
          <w:p w:rsidR="00D320CE" w:rsidRDefault="00D320CE" w:rsidP="00CF2F78">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 xml:space="preserve">Approve the </w:t>
            </w:r>
            <w:r w:rsidR="009C05C8">
              <w:rPr>
                <w:rFonts w:hAnsi="Arial" w:cs="Arial"/>
                <w:color w:val="auto"/>
                <w:lang w:val="en-GB"/>
              </w:rPr>
              <w:t xml:space="preserve">budget adjustments for 2016/17 and 2017/18, and following years' increases, included in the MTFS reflecting the phased </w:t>
            </w:r>
            <w:r w:rsidR="00772248">
              <w:rPr>
                <w:rFonts w:hAnsi="Arial" w:cs="Arial"/>
                <w:color w:val="auto"/>
                <w:lang w:val="en-GB"/>
              </w:rPr>
              <w:t xml:space="preserve">financial impact of the </w:t>
            </w:r>
            <w:r w:rsidR="009C05C8">
              <w:rPr>
                <w:rFonts w:hAnsi="Arial" w:cs="Arial"/>
                <w:color w:val="auto"/>
                <w:lang w:val="en-GB"/>
              </w:rPr>
              <w:t xml:space="preserve">national </w:t>
            </w:r>
            <w:r w:rsidR="00F77791">
              <w:rPr>
                <w:rFonts w:hAnsi="Arial" w:cs="Arial"/>
                <w:color w:val="auto"/>
                <w:lang w:val="en-GB"/>
              </w:rPr>
              <w:t>living wage</w:t>
            </w:r>
            <w:r w:rsidR="009C05C8">
              <w:rPr>
                <w:rFonts w:hAnsi="Arial" w:cs="Arial"/>
                <w:color w:val="auto"/>
                <w:lang w:val="en-GB"/>
              </w:rPr>
              <w:t>.</w:t>
            </w:r>
          </w:p>
          <w:p w:rsidR="00CF2F78" w:rsidRDefault="00CF2F78" w:rsidP="00CF2F78">
            <w:pPr>
              <w:pStyle w:val="ListParagraph"/>
              <w:rPr>
                <w:rFonts w:cs="Arial"/>
              </w:rPr>
            </w:pPr>
          </w:p>
          <w:p w:rsidR="00893FE3" w:rsidRDefault="00893FE3" w:rsidP="00893FE3">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Approve the adjustment of previously approved savings targets to reflect the £52.8m of undeliverable savings identified within the MTFS and that the 2016/17 budget be prepared on that basis.</w:t>
            </w:r>
          </w:p>
          <w:p w:rsidR="00D320CE" w:rsidRDefault="00D320CE" w:rsidP="00D320CE">
            <w:pPr>
              <w:pStyle w:val="Body"/>
              <w:spacing w:after="0" w:line="240" w:lineRule="auto"/>
              <w:jc w:val="both"/>
              <w:rPr>
                <w:rFonts w:hAnsi="Arial" w:cs="Arial"/>
                <w:color w:val="auto"/>
                <w:lang w:val="en-GB"/>
              </w:rPr>
            </w:pPr>
          </w:p>
          <w:p w:rsidR="00772248" w:rsidRDefault="00F77791" w:rsidP="00CF2F78">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Approve the principle of reserves supporting the revenue budget</w:t>
            </w:r>
            <w:r w:rsidR="003E6B80">
              <w:rPr>
                <w:rFonts w:hAnsi="Arial" w:cs="Arial"/>
                <w:color w:val="auto"/>
                <w:lang w:val="en-GB"/>
              </w:rPr>
              <w:t xml:space="preserve"> in 2016/17 and 2017/18</w:t>
            </w:r>
            <w:r w:rsidR="00772248">
              <w:rPr>
                <w:rFonts w:hAnsi="Arial" w:cs="Arial"/>
                <w:color w:val="auto"/>
                <w:lang w:val="en-GB"/>
              </w:rPr>
              <w:t>.</w:t>
            </w:r>
            <w:r>
              <w:rPr>
                <w:rFonts w:hAnsi="Arial" w:cs="Arial"/>
                <w:color w:val="auto"/>
                <w:lang w:val="en-GB"/>
              </w:rPr>
              <w:t xml:space="preserve"> </w:t>
            </w:r>
          </w:p>
          <w:p w:rsidR="00772248" w:rsidRDefault="00772248" w:rsidP="00772248">
            <w:pPr>
              <w:pStyle w:val="ListParagraph"/>
              <w:rPr>
                <w:rFonts w:cs="Arial"/>
              </w:rPr>
            </w:pPr>
          </w:p>
          <w:p w:rsidR="009C05C8" w:rsidRDefault="00772248" w:rsidP="00CF2F78">
            <w:pPr>
              <w:pStyle w:val="Body"/>
              <w:numPr>
                <w:ilvl w:val="0"/>
                <w:numId w:val="13"/>
              </w:numPr>
              <w:spacing w:after="0" w:line="240" w:lineRule="auto"/>
              <w:ind w:left="880" w:hanging="520"/>
              <w:jc w:val="both"/>
              <w:rPr>
                <w:rFonts w:hAnsi="Arial" w:cs="Arial"/>
                <w:color w:val="auto"/>
                <w:lang w:val="en-GB"/>
              </w:rPr>
            </w:pPr>
            <w:r>
              <w:rPr>
                <w:rFonts w:hAnsi="Arial" w:cs="Arial"/>
                <w:color w:val="auto"/>
                <w:lang w:val="en-GB"/>
              </w:rPr>
              <w:t xml:space="preserve">Approve the </w:t>
            </w:r>
            <w:r w:rsidR="003E6B80">
              <w:rPr>
                <w:rFonts w:hAnsi="Arial" w:cs="Arial"/>
                <w:color w:val="auto"/>
                <w:lang w:val="en-GB"/>
              </w:rPr>
              <w:t xml:space="preserve">principle of replacing revenue support to the capital programme with capital </w:t>
            </w:r>
            <w:r w:rsidR="00893FE3">
              <w:rPr>
                <w:rFonts w:hAnsi="Arial" w:cs="Arial"/>
                <w:color w:val="auto"/>
                <w:lang w:val="en-GB"/>
              </w:rPr>
              <w:t>borrowing</w:t>
            </w:r>
            <w:r w:rsidR="003E6B80">
              <w:rPr>
                <w:rFonts w:hAnsi="Arial" w:cs="Arial"/>
                <w:color w:val="auto"/>
                <w:lang w:val="en-GB"/>
              </w:rPr>
              <w:t xml:space="preserve">. </w:t>
            </w:r>
          </w:p>
          <w:p w:rsidR="009C05C8" w:rsidRDefault="009C05C8" w:rsidP="009C05C8">
            <w:pPr>
              <w:pStyle w:val="ListParagraph"/>
              <w:rPr>
                <w:rFonts w:cs="Arial"/>
              </w:rPr>
            </w:pPr>
          </w:p>
          <w:p w:rsidR="00893FE3" w:rsidRDefault="00893FE3" w:rsidP="00893FE3">
            <w:pPr>
              <w:pStyle w:val="Body"/>
              <w:numPr>
                <w:ilvl w:val="0"/>
                <w:numId w:val="13"/>
              </w:numPr>
              <w:spacing w:after="0" w:line="240" w:lineRule="auto"/>
              <w:ind w:left="880" w:hanging="520"/>
              <w:jc w:val="both"/>
              <w:rPr>
                <w:rFonts w:hAnsi="Arial" w:cs="Arial"/>
                <w:color w:val="auto"/>
                <w:lang w:val="en-GB"/>
              </w:rPr>
            </w:pPr>
            <w:r w:rsidRPr="00D320CE">
              <w:rPr>
                <w:rFonts w:hAnsi="Arial" w:cs="Arial"/>
                <w:color w:val="auto"/>
                <w:lang w:val="en-GB"/>
              </w:rPr>
              <w:t xml:space="preserve">Approve the </w:t>
            </w:r>
            <w:r>
              <w:rPr>
                <w:rFonts w:hAnsi="Arial" w:cs="Arial"/>
                <w:color w:val="auto"/>
                <w:lang w:val="en-GB"/>
              </w:rPr>
              <w:t>attached budget proposals set out in Appendi</w:t>
            </w:r>
            <w:r w:rsidR="000221C5">
              <w:rPr>
                <w:rFonts w:hAnsi="Arial" w:cs="Arial"/>
                <w:color w:val="auto"/>
                <w:lang w:val="en-GB"/>
              </w:rPr>
              <w:t>ces '</w:t>
            </w:r>
            <w:r>
              <w:rPr>
                <w:rFonts w:hAnsi="Arial" w:cs="Arial"/>
                <w:color w:val="auto"/>
                <w:lang w:val="en-GB"/>
              </w:rPr>
              <w:t>D</w:t>
            </w:r>
            <w:r w:rsidR="000221C5">
              <w:rPr>
                <w:rFonts w:hAnsi="Arial" w:cs="Arial"/>
                <w:color w:val="auto"/>
                <w:lang w:val="en-GB"/>
              </w:rPr>
              <w:t>' and 'E'</w:t>
            </w:r>
            <w:r>
              <w:rPr>
                <w:rFonts w:hAnsi="Arial" w:cs="Arial"/>
                <w:color w:val="auto"/>
                <w:lang w:val="en-GB"/>
              </w:rPr>
              <w:t>, authorise officers to proceed with their implementation, and agree that the 2016/17 budget be prepared based upon these revenue decisions.</w:t>
            </w:r>
          </w:p>
          <w:p w:rsidR="00893FE3" w:rsidRDefault="00893FE3" w:rsidP="00893FE3">
            <w:pPr>
              <w:pStyle w:val="ListParagraph"/>
              <w:rPr>
                <w:rFonts w:cs="Arial"/>
              </w:rPr>
            </w:pPr>
          </w:p>
          <w:p w:rsidR="009C05C8" w:rsidRDefault="00B05556" w:rsidP="00CF2F78">
            <w:pPr>
              <w:pStyle w:val="Body"/>
              <w:numPr>
                <w:ilvl w:val="0"/>
                <w:numId w:val="13"/>
              </w:numPr>
              <w:spacing w:after="0" w:line="240" w:lineRule="auto"/>
              <w:ind w:left="880" w:hanging="540"/>
              <w:jc w:val="both"/>
              <w:rPr>
                <w:rFonts w:hAnsi="Arial" w:cs="Arial"/>
                <w:color w:val="auto"/>
                <w:lang w:val="en-GB"/>
              </w:rPr>
            </w:pPr>
            <w:r w:rsidRPr="00B05556">
              <w:rPr>
                <w:rFonts w:hAnsi="Arial" w:cs="Arial"/>
                <w:color w:val="auto"/>
                <w:lang w:val="en-GB"/>
              </w:rPr>
              <w:t xml:space="preserve">Approve a financial strategy that sets a spending target for service expenditure levels to move in line with the lower quartile of the </w:t>
            </w:r>
            <w:r w:rsidR="0081782E">
              <w:rPr>
                <w:rFonts w:hAnsi="Arial" w:cs="Arial"/>
                <w:color w:val="auto"/>
                <w:lang w:val="en-GB"/>
              </w:rPr>
              <w:t xml:space="preserve">most appropriate comparator </w:t>
            </w:r>
            <w:r w:rsidRPr="00B05556">
              <w:rPr>
                <w:rFonts w:hAnsi="Arial" w:cs="Arial"/>
                <w:color w:val="auto"/>
                <w:lang w:val="en-GB"/>
              </w:rPr>
              <w:t>group of local authorities</w:t>
            </w:r>
            <w:r w:rsidR="0081782E">
              <w:rPr>
                <w:rFonts w:hAnsi="Arial" w:cs="Arial"/>
                <w:color w:val="auto"/>
                <w:lang w:val="en-GB"/>
              </w:rPr>
              <w:t xml:space="preserve"> for individual services</w:t>
            </w:r>
            <w:r w:rsidRPr="00B05556">
              <w:rPr>
                <w:rFonts w:hAnsi="Arial" w:cs="Arial"/>
                <w:color w:val="auto"/>
                <w:lang w:val="en-GB"/>
              </w:rPr>
              <w:t>.</w:t>
            </w:r>
          </w:p>
          <w:p w:rsidR="00285DA2" w:rsidRDefault="00285DA2" w:rsidP="00285DA2">
            <w:pPr>
              <w:pStyle w:val="ListParagraph"/>
              <w:rPr>
                <w:rFonts w:cs="Arial"/>
              </w:rPr>
            </w:pPr>
          </w:p>
          <w:p w:rsidR="00285DA2" w:rsidRPr="00B05556" w:rsidRDefault="00285DA2" w:rsidP="00285DA2">
            <w:pPr>
              <w:pStyle w:val="Body"/>
              <w:numPr>
                <w:ilvl w:val="0"/>
                <w:numId w:val="13"/>
              </w:numPr>
              <w:spacing w:after="0" w:line="240" w:lineRule="auto"/>
              <w:ind w:left="880" w:hanging="540"/>
              <w:jc w:val="both"/>
              <w:rPr>
                <w:rFonts w:hAnsi="Arial" w:cs="Arial"/>
                <w:color w:val="auto"/>
                <w:lang w:val="en-GB"/>
              </w:rPr>
            </w:pPr>
            <w:r>
              <w:rPr>
                <w:rFonts w:hAnsi="Arial" w:cs="Arial"/>
                <w:color w:val="auto"/>
                <w:lang w:val="en-GB"/>
              </w:rPr>
              <w:t xml:space="preserve">Approve key stakeholders and partners </w:t>
            </w:r>
            <w:r w:rsidR="00CF2F78">
              <w:rPr>
                <w:rFonts w:hAnsi="Arial" w:cs="Arial"/>
                <w:color w:val="auto"/>
                <w:lang w:val="en-GB"/>
              </w:rPr>
              <w:t xml:space="preserve">being formally advised </w:t>
            </w:r>
            <w:r>
              <w:rPr>
                <w:rFonts w:hAnsi="Arial" w:cs="Arial"/>
                <w:color w:val="auto"/>
                <w:lang w:val="en-GB"/>
              </w:rPr>
              <w:t>of the outcome of the budget decisions.</w:t>
            </w:r>
          </w:p>
          <w:p w:rsidR="009C05C8" w:rsidRPr="0068670D" w:rsidRDefault="009C05C8" w:rsidP="009C05C8">
            <w:pPr>
              <w:pStyle w:val="Body"/>
              <w:spacing w:after="0" w:line="240" w:lineRule="auto"/>
              <w:ind w:left="720"/>
              <w:jc w:val="both"/>
              <w:rPr>
                <w:rFonts w:hAnsi="Arial" w:cs="Arial"/>
                <w:color w:val="auto"/>
                <w:lang w:val="en-GB"/>
              </w:rPr>
            </w:pPr>
          </w:p>
        </w:tc>
      </w:tr>
    </w:tbl>
    <w:p w:rsidR="00F71D9A" w:rsidRDefault="00F71D9A" w:rsidP="00DF043B">
      <w:pPr>
        <w:rPr>
          <w:b/>
        </w:rPr>
      </w:pPr>
    </w:p>
    <w:p w:rsidR="00C265AB" w:rsidRDefault="00C265AB" w:rsidP="00DF043B">
      <w:pPr>
        <w:rPr>
          <w:b/>
        </w:rPr>
      </w:pPr>
    </w:p>
    <w:p w:rsidR="009E1964" w:rsidRDefault="009E1964" w:rsidP="00DF043B">
      <w:pPr>
        <w:rPr>
          <w:b/>
        </w:rPr>
      </w:pPr>
      <w:r>
        <w:rPr>
          <w:b/>
        </w:rPr>
        <w:t xml:space="preserve">Background and Advice </w:t>
      </w:r>
    </w:p>
    <w:p w:rsidR="009E1964" w:rsidRDefault="009E1964" w:rsidP="009F69D0">
      <w:pPr>
        <w:jc w:val="both"/>
        <w:rPr>
          <w:b/>
        </w:rPr>
      </w:pPr>
    </w:p>
    <w:p w:rsidR="0068670D" w:rsidRDefault="009E1964" w:rsidP="0068670D">
      <w:pPr>
        <w:jc w:val="both"/>
      </w:pPr>
      <w:r>
        <w:t>The detailed report</w:t>
      </w:r>
      <w:r w:rsidR="0068670D">
        <w:t>s</w:t>
      </w:r>
      <w:r w:rsidR="005458BC">
        <w:t xml:space="preserve"> at Appendices</w:t>
      </w:r>
      <w:r>
        <w:t xml:space="preserve"> </w:t>
      </w:r>
      <w:r w:rsidR="000221C5">
        <w:t>'</w:t>
      </w:r>
      <w:r>
        <w:t>A</w:t>
      </w:r>
      <w:r w:rsidR="000221C5">
        <w:t>'</w:t>
      </w:r>
      <w:r w:rsidR="00C265AB">
        <w:t xml:space="preserve"> and</w:t>
      </w:r>
      <w:r w:rsidR="0068670D">
        <w:t xml:space="preserve"> </w:t>
      </w:r>
      <w:r w:rsidR="000221C5">
        <w:t>'</w:t>
      </w:r>
      <w:r w:rsidR="0068670D">
        <w:t>B</w:t>
      </w:r>
      <w:r w:rsidR="000221C5">
        <w:t>'</w:t>
      </w:r>
      <w:r w:rsidR="0068670D">
        <w:t xml:space="preserve"> present</w:t>
      </w:r>
      <w:r>
        <w:t xml:space="preserve"> the County Council's revenue </w:t>
      </w:r>
      <w:r w:rsidR="0068670D">
        <w:t>position as at 30</w:t>
      </w:r>
      <w:r w:rsidR="0068670D" w:rsidRPr="0068670D">
        <w:rPr>
          <w:vertAlign w:val="superscript"/>
        </w:rPr>
        <w:t>th</w:t>
      </w:r>
      <w:r w:rsidR="0068670D">
        <w:t xml:space="preserve"> </w:t>
      </w:r>
      <w:r w:rsidR="00A279DD">
        <w:t>September</w:t>
      </w:r>
      <w:r w:rsidR="00C265AB">
        <w:t xml:space="preserve"> and </w:t>
      </w:r>
      <w:r w:rsidR="0068670D">
        <w:t>an updated financial outlook and Medium Term Financial Strategy for the period 2016/17 to 2020/21.</w:t>
      </w:r>
    </w:p>
    <w:p w:rsidR="009E1964" w:rsidRDefault="009E1964" w:rsidP="009F69D0">
      <w:pPr>
        <w:jc w:val="both"/>
        <w:rPr>
          <w:b/>
        </w:rPr>
      </w:pPr>
    </w:p>
    <w:p w:rsidR="00534160" w:rsidRDefault="00534160" w:rsidP="009F69D0">
      <w:pPr>
        <w:jc w:val="both"/>
        <w:rPr>
          <w:b/>
        </w:rPr>
      </w:pPr>
    </w:p>
    <w:p w:rsidR="006F434D" w:rsidRDefault="006F434D" w:rsidP="009F69D0">
      <w:pPr>
        <w:jc w:val="both"/>
        <w:rPr>
          <w:b/>
        </w:rPr>
      </w:pPr>
    </w:p>
    <w:p w:rsidR="00F77791" w:rsidRPr="000B13C6" w:rsidRDefault="00F77791" w:rsidP="00F77791">
      <w:pPr>
        <w:pStyle w:val="NoSpacing"/>
        <w:rPr>
          <w:rFonts w:ascii="Arial" w:hAnsi="Arial" w:cs="Arial"/>
          <w:b/>
          <w:sz w:val="24"/>
          <w:szCs w:val="24"/>
        </w:rPr>
      </w:pPr>
      <w:r w:rsidRPr="000B13C6">
        <w:rPr>
          <w:rFonts w:ascii="Arial" w:hAnsi="Arial" w:cs="Arial"/>
          <w:b/>
          <w:sz w:val="24"/>
          <w:szCs w:val="24"/>
        </w:rPr>
        <w:lastRenderedPageBreak/>
        <w:t>2016/17 – 2020/21 Budget Strategy and Proposals</w:t>
      </w:r>
    </w:p>
    <w:p w:rsidR="00F77791" w:rsidRDefault="00F77791" w:rsidP="00F77791">
      <w:pPr>
        <w:pStyle w:val="NoSpacing"/>
        <w:rPr>
          <w:rFonts w:ascii="Arial" w:hAnsi="Arial" w:cs="Arial"/>
          <w:sz w:val="24"/>
          <w:szCs w:val="24"/>
        </w:rPr>
      </w:pPr>
    </w:p>
    <w:p w:rsidR="00C265AB" w:rsidRPr="0032687F" w:rsidRDefault="00F77791" w:rsidP="00C265AB">
      <w:pPr>
        <w:pStyle w:val="NoSpacing"/>
        <w:jc w:val="both"/>
        <w:rPr>
          <w:rFonts w:ascii="Arial" w:hAnsi="Arial" w:cs="Arial"/>
          <w:sz w:val="24"/>
          <w:szCs w:val="24"/>
        </w:rPr>
      </w:pPr>
      <w:r>
        <w:rPr>
          <w:rFonts w:ascii="Arial" w:hAnsi="Arial" w:cs="Arial"/>
          <w:sz w:val="24"/>
          <w:szCs w:val="24"/>
        </w:rPr>
        <w:t xml:space="preserve">The County Council is facing an unprecedented financial challenge.  </w:t>
      </w:r>
      <w:r w:rsidR="00C265AB" w:rsidRPr="00C265AB">
        <w:rPr>
          <w:rFonts w:ascii="Arial" w:hAnsi="Arial" w:cs="Arial"/>
          <w:sz w:val="24"/>
          <w:szCs w:val="24"/>
        </w:rPr>
        <w:t>The assumptions made in the original MTFS have been reviewed and been updated to reflect the latest information available.  The revised forecast funding gap is now estimated to be £262.0m by 2020/21 and an aggregated total of unavailable resources of £851.1m across the five year period.</w:t>
      </w:r>
      <w:r w:rsidR="007803AE">
        <w:rPr>
          <w:rFonts w:ascii="Arial" w:hAnsi="Arial" w:cs="Arial"/>
          <w:sz w:val="24"/>
          <w:szCs w:val="24"/>
        </w:rPr>
        <w:t xml:space="preserve">  The funding</w:t>
      </w:r>
      <w:r w:rsidR="004C3503">
        <w:rPr>
          <w:rFonts w:ascii="Arial" w:hAnsi="Arial" w:cs="Arial"/>
          <w:sz w:val="24"/>
          <w:szCs w:val="24"/>
        </w:rPr>
        <w:t xml:space="preserve"> gap reflects an adjustment within the MTFS for prior year agreed budget savings that have been now assessed as undeliverable as part of the budget risk assessment work that has been undertaken, totalling £</w:t>
      </w:r>
      <w:r w:rsidR="0032687F">
        <w:rPr>
          <w:rFonts w:ascii="Arial" w:hAnsi="Arial" w:cs="Arial"/>
          <w:sz w:val="24"/>
          <w:szCs w:val="24"/>
        </w:rPr>
        <w:t>53.2</w:t>
      </w:r>
      <w:r w:rsidR="004C3503">
        <w:rPr>
          <w:rFonts w:ascii="Arial" w:hAnsi="Arial" w:cs="Arial"/>
          <w:sz w:val="24"/>
          <w:szCs w:val="24"/>
        </w:rPr>
        <w:t xml:space="preserve">m.  </w:t>
      </w:r>
      <w:r w:rsidR="0032687F">
        <w:rPr>
          <w:rFonts w:ascii="Arial" w:hAnsi="Arial" w:cs="Arial"/>
          <w:sz w:val="24"/>
          <w:szCs w:val="24"/>
        </w:rPr>
        <w:t>c</w:t>
      </w:r>
      <w:r w:rsidR="004C3503">
        <w:rPr>
          <w:rFonts w:ascii="Arial" w:hAnsi="Arial" w:cs="Arial"/>
          <w:sz w:val="24"/>
          <w:szCs w:val="24"/>
        </w:rPr>
        <w:t>£</w:t>
      </w:r>
      <w:r w:rsidR="0032687F">
        <w:rPr>
          <w:rFonts w:ascii="Arial" w:hAnsi="Arial" w:cs="Arial"/>
          <w:sz w:val="24"/>
          <w:szCs w:val="24"/>
        </w:rPr>
        <w:t>148</w:t>
      </w:r>
      <w:r w:rsidR="004C3503">
        <w:rPr>
          <w:rFonts w:ascii="Arial" w:hAnsi="Arial" w:cs="Arial"/>
          <w:sz w:val="24"/>
          <w:szCs w:val="24"/>
        </w:rPr>
        <w:t xml:space="preserve">m of currently agreed savings remains as still needing to be delivered </w:t>
      </w:r>
      <w:r w:rsidR="0032687F">
        <w:rPr>
          <w:rFonts w:ascii="Arial" w:hAnsi="Arial" w:cs="Arial"/>
          <w:sz w:val="24"/>
          <w:szCs w:val="24"/>
        </w:rPr>
        <w:t>over the period 2015/16 to 2017/18 to</w:t>
      </w:r>
      <w:r w:rsidR="004C3503">
        <w:rPr>
          <w:rFonts w:ascii="Arial" w:hAnsi="Arial" w:cs="Arial"/>
          <w:sz w:val="24"/>
          <w:szCs w:val="24"/>
        </w:rPr>
        <w:t xml:space="preserve"> ensure no increase in the updated funding gap. </w:t>
      </w:r>
    </w:p>
    <w:p w:rsidR="00C265AB" w:rsidRPr="002E3569" w:rsidRDefault="00C265AB" w:rsidP="00C265AB">
      <w:pPr>
        <w:tabs>
          <w:tab w:val="left" w:pos="567"/>
          <w:tab w:val="left" w:pos="1134"/>
        </w:tabs>
        <w:rPr>
          <w:rFonts w:cs="Arial"/>
          <w:highlight w:val="green"/>
        </w:rPr>
      </w:pPr>
    </w:p>
    <w:tbl>
      <w:tblPr>
        <w:tblStyle w:val="TableGrid"/>
        <w:tblW w:w="9209" w:type="dxa"/>
        <w:tblLook w:val="04A0" w:firstRow="1" w:lastRow="0" w:firstColumn="1" w:lastColumn="0" w:noHBand="0" w:noVBand="1"/>
      </w:tblPr>
      <w:tblGrid>
        <w:gridCol w:w="2290"/>
        <w:gridCol w:w="1205"/>
        <w:gridCol w:w="1205"/>
        <w:gridCol w:w="1205"/>
        <w:gridCol w:w="1205"/>
        <w:gridCol w:w="1205"/>
        <w:gridCol w:w="894"/>
      </w:tblGrid>
      <w:tr w:rsidR="00C265AB" w:rsidRPr="00C265AB" w:rsidTr="004514C6">
        <w:trPr>
          <w:trHeight w:val="270"/>
        </w:trPr>
        <w:tc>
          <w:tcPr>
            <w:tcW w:w="0" w:type="auto"/>
            <w:tcBorders>
              <w:bottom w:val="nil"/>
            </w:tcBorders>
            <w:shd w:val="clear" w:color="auto" w:fill="BFBFBF" w:themeFill="background1" w:themeFillShade="BF"/>
          </w:tcPr>
          <w:p w:rsidR="00C265AB" w:rsidRPr="009D070D" w:rsidRDefault="00C265AB" w:rsidP="004514C6">
            <w:pPr>
              <w:tabs>
                <w:tab w:val="left" w:pos="567"/>
                <w:tab w:val="left" w:pos="1134"/>
              </w:tabs>
              <w:rPr>
                <w:rFonts w:cs="Arial"/>
                <w:highlight w:val="green"/>
              </w:rPr>
            </w:pPr>
          </w:p>
        </w:tc>
        <w:tc>
          <w:tcPr>
            <w:tcW w:w="0" w:type="auto"/>
            <w:tcBorders>
              <w:bottom w:val="nil"/>
            </w:tcBorders>
            <w:shd w:val="clear" w:color="auto" w:fill="BFBFBF" w:themeFill="background1" w:themeFillShade="BF"/>
          </w:tcPr>
          <w:p w:rsidR="00C265AB" w:rsidRPr="00C265AB" w:rsidRDefault="00C265AB" w:rsidP="004514C6">
            <w:pPr>
              <w:jc w:val="center"/>
              <w:rPr>
                <w:rFonts w:cs="Arial"/>
                <w:b/>
                <w:sz w:val="20"/>
              </w:rPr>
            </w:pPr>
            <w:r w:rsidRPr="00C265AB">
              <w:rPr>
                <w:rFonts w:cs="Arial"/>
                <w:b/>
                <w:sz w:val="20"/>
              </w:rPr>
              <w:t>2016/17</w:t>
            </w:r>
          </w:p>
        </w:tc>
        <w:tc>
          <w:tcPr>
            <w:tcW w:w="0" w:type="auto"/>
            <w:tcBorders>
              <w:bottom w:val="nil"/>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2017/18</w:t>
            </w:r>
          </w:p>
        </w:tc>
        <w:tc>
          <w:tcPr>
            <w:tcW w:w="0" w:type="auto"/>
            <w:tcBorders>
              <w:bottom w:val="nil"/>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2018/19</w:t>
            </w:r>
          </w:p>
        </w:tc>
        <w:tc>
          <w:tcPr>
            <w:tcW w:w="0" w:type="auto"/>
            <w:tcBorders>
              <w:bottom w:val="nil"/>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2019/20</w:t>
            </w:r>
          </w:p>
        </w:tc>
        <w:tc>
          <w:tcPr>
            <w:tcW w:w="0" w:type="auto"/>
            <w:tcBorders>
              <w:bottom w:val="nil"/>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2020/21</w:t>
            </w:r>
          </w:p>
        </w:tc>
        <w:tc>
          <w:tcPr>
            <w:tcW w:w="894" w:type="dxa"/>
            <w:tcBorders>
              <w:bottom w:val="nil"/>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Total</w:t>
            </w:r>
          </w:p>
        </w:tc>
      </w:tr>
      <w:tr w:rsidR="00C265AB" w:rsidRPr="00C265AB" w:rsidTr="004514C6">
        <w:trPr>
          <w:trHeight w:val="150"/>
        </w:trPr>
        <w:tc>
          <w:tcPr>
            <w:tcW w:w="0" w:type="auto"/>
            <w:tcBorders>
              <w:top w:val="nil"/>
              <w:bottom w:val="single" w:sz="4" w:space="0" w:color="auto"/>
            </w:tcBorders>
            <w:shd w:val="clear" w:color="auto" w:fill="BFBFBF" w:themeFill="background1" w:themeFillShade="BF"/>
          </w:tcPr>
          <w:p w:rsidR="00C265AB" w:rsidRPr="009D070D" w:rsidRDefault="00C265AB" w:rsidP="004514C6">
            <w:pPr>
              <w:tabs>
                <w:tab w:val="left" w:pos="567"/>
                <w:tab w:val="left" w:pos="1134"/>
              </w:tabs>
              <w:rPr>
                <w:rFonts w:cs="Arial"/>
              </w:rPr>
            </w:pPr>
          </w:p>
        </w:tc>
        <w:tc>
          <w:tcPr>
            <w:tcW w:w="0" w:type="auto"/>
            <w:tcBorders>
              <w:top w:val="nil"/>
              <w:bottom w:val="single" w:sz="4" w:space="0" w:color="auto"/>
            </w:tcBorders>
            <w:shd w:val="clear" w:color="auto" w:fill="BFBFBF" w:themeFill="background1" w:themeFillShade="BF"/>
          </w:tcPr>
          <w:p w:rsidR="00C265AB" w:rsidRPr="00C265AB" w:rsidRDefault="00C265AB" w:rsidP="004514C6">
            <w:pPr>
              <w:jc w:val="center"/>
              <w:rPr>
                <w:rFonts w:cs="Arial"/>
                <w:b/>
                <w:sz w:val="20"/>
              </w:rPr>
            </w:pPr>
            <w:r w:rsidRPr="00C265AB">
              <w:rPr>
                <w:rFonts w:cs="Arial"/>
                <w:b/>
                <w:sz w:val="20"/>
              </w:rPr>
              <w:t>£m</w:t>
            </w:r>
          </w:p>
        </w:tc>
        <w:tc>
          <w:tcPr>
            <w:tcW w:w="0" w:type="auto"/>
            <w:tcBorders>
              <w:top w:val="nil"/>
              <w:bottom w:val="single" w:sz="4" w:space="0" w:color="auto"/>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£m</w:t>
            </w:r>
          </w:p>
        </w:tc>
        <w:tc>
          <w:tcPr>
            <w:tcW w:w="0" w:type="auto"/>
            <w:tcBorders>
              <w:top w:val="nil"/>
              <w:bottom w:val="single" w:sz="4" w:space="0" w:color="auto"/>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£m</w:t>
            </w:r>
          </w:p>
        </w:tc>
        <w:tc>
          <w:tcPr>
            <w:tcW w:w="0" w:type="auto"/>
            <w:tcBorders>
              <w:top w:val="nil"/>
              <w:bottom w:val="single" w:sz="4" w:space="0" w:color="auto"/>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£m</w:t>
            </w:r>
          </w:p>
        </w:tc>
        <w:tc>
          <w:tcPr>
            <w:tcW w:w="0" w:type="auto"/>
            <w:tcBorders>
              <w:top w:val="nil"/>
              <w:bottom w:val="single" w:sz="4" w:space="0" w:color="auto"/>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£m</w:t>
            </w:r>
          </w:p>
        </w:tc>
        <w:tc>
          <w:tcPr>
            <w:tcW w:w="894" w:type="dxa"/>
            <w:tcBorders>
              <w:top w:val="nil"/>
              <w:bottom w:val="single" w:sz="4" w:space="0" w:color="auto"/>
            </w:tcBorders>
            <w:shd w:val="clear" w:color="auto" w:fill="BFBFBF" w:themeFill="background1" w:themeFillShade="BF"/>
            <w:vAlign w:val="center"/>
          </w:tcPr>
          <w:p w:rsidR="00C265AB" w:rsidRPr="00C265AB" w:rsidRDefault="00C265AB" w:rsidP="004514C6">
            <w:pPr>
              <w:jc w:val="center"/>
              <w:rPr>
                <w:rFonts w:cs="Arial"/>
                <w:b/>
                <w:sz w:val="20"/>
              </w:rPr>
            </w:pPr>
            <w:r w:rsidRPr="00C265AB">
              <w:rPr>
                <w:rFonts w:cs="Arial"/>
                <w:b/>
                <w:sz w:val="20"/>
              </w:rPr>
              <w:t>£m</w:t>
            </w:r>
          </w:p>
        </w:tc>
      </w:tr>
      <w:tr w:rsidR="00C265AB" w:rsidRPr="00C265AB" w:rsidTr="004514C6">
        <w:trPr>
          <w:trHeight w:val="270"/>
        </w:trPr>
        <w:tc>
          <w:tcPr>
            <w:tcW w:w="0" w:type="auto"/>
            <w:tcBorders>
              <w:top w:val="single" w:sz="4" w:space="0" w:color="auto"/>
              <w:left w:val="single" w:sz="4" w:space="0" w:color="auto"/>
              <w:bottom w:val="nil"/>
              <w:right w:val="single" w:sz="4" w:space="0" w:color="auto"/>
            </w:tcBorders>
          </w:tcPr>
          <w:p w:rsidR="00C265AB" w:rsidRPr="00C265AB" w:rsidRDefault="00C265AB" w:rsidP="004514C6">
            <w:pPr>
              <w:tabs>
                <w:tab w:val="left" w:pos="567"/>
                <w:tab w:val="left" w:pos="1134"/>
              </w:tabs>
              <w:rPr>
                <w:rFonts w:cs="Arial"/>
                <w:sz w:val="20"/>
              </w:rPr>
            </w:pPr>
          </w:p>
          <w:p w:rsidR="00C265AB" w:rsidRPr="00C265AB" w:rsidRDefault="00C265AB" w:rsidP="004514C6">
            <w:pPr>
              <w:tabs>
                <w:tab w:val="left" w:pos="567"/>
                <w:tab w:val="left" w:pos="1134"/>
              </w:tabs>
              <w:rPr>
                <w:rFonts w:cs="Arial"/>
                <w:sz w:val="20"/>
              </w:rPr>
            </w:pPr>
            <w:r w:rsidRPr="00C265AB">
              <w:rPr>
                <w:rFonts w:cs="Arial"/>
                <w:sz w:val="20"/>
              </w:rPr>
              <w:t>Total Expenditure</w:t>
            </w:r>
          </w:p>
          <w:p w:rsidR="00C265AB" w:rsidRPr="00C265AB" w:rsidRDefault="00C265AB" w:rsidP="004514C6">
            <w:pPr>
              <w:tabs>
                <w:tab w:val="left" w:pos="567"/>
                <w:tab w:val="left" w:pos="1134"/>
              </w:tabs>
              <w:rPr>
                <w:rFonts w:cs="Arial"/>
                <w:sz w:val="20"/>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81782E">
            <w:pPr>
              <w:tabs>
                <w:tab w:val="left" w:pos="567"/>
                <w:tab w:val="left" w:pos="1134"/>
              </w:tabs>
              <w:jc w:val="center"/>
              <w:rPr>
                <w:rFonts w:cs="Arial"/>
                <w:sz w:val="20"/>
              </w:rPr>
            </w:pPr>
            <w:r w:rsidRPr="00C265AB">
              <w:rPr>
                <w:rFonts w:cs="Arial"/>
                <w:sz w:val="20"/>
              </w:rPr>
              <w:t>79</w:t>
            </w:r>
            <w:r w:rsidR="0081782E">
              <w:rPr>
                <w:rFonts w:cs="Arial"/>
                <w:sz w:val="20"/>
              </w:rPr>
              <w:t>5</w:t>
            </w:r>
            <w:r w:rsidRPr="00C265AB">
              <w:rPr>
                <w:rFonts w:cs="Arial"/>
                <w:sz w:val="20"/>
              </w:rPr>
              <w:t>.2</w:t>
            </w: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81782E">
            <w:pPr>
              <w:tabs>
                <w:tab w:val="left" w:pos="567"/>
                <w:tab w:val="left" w:pos="1134"/>
              </w:tabs>
              <w:jc w:val="center"/>
              <w:rPr>
                <w:rFonts w:cs="Arial"/>
                <w:sz w:val="20"/>
              </w:rPr>
            </w:pPr>
            <w:r w:rsidRPr="00C265AB">
              <w:rPr>
                <w:rFonts w:cs="Arial"/>
                <w:sz w:val="20"/>
              </w:rPr>
              <w:t>70</w:t>
            </w:r>
            <w:r w:rsidR="0081782E">
              <w:rPr>
                <w:rFonts w:cs="Arial"/>
                <w:sz w:val="20"/>
              </w:rPr>
              <w:t>6</w:t>
            </w:r>
            <w:r w:rsidRPr="00C265AB">
              <w:rPr>
                <w:rFonts w:cs="Arial"/>
                <w:sz w:val="20"/>
              </w:rPr>
              <w:t>.1</w:t>
            </w: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725.0</w:t>
            </w: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711.4</w:t>
            </w: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710.2</w:t>
            </w:r>
          </w:p>
        </w:tc>
        <w:tc>
          <w:tcPr>
            <w:tcW w:w="894" w:type="dxa"/>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highlight w:val="green"/>
              </w:rPr>
            </w:pPr>
          </w:p>
        </w:tc>
      </w:tr>
      <w:tr w:rsidR="00C265AB" w:rsidRPr="00C265AB" w:rsidTr="004514C6">
        <w:trPr>
          <w:trHeight w:val="270"/>
        </w:trPr>
        <w:tc>
          <w:tcPr>
            <w:tcW w:w="0" w:type="auto"/>
            <w:tcBorders>
              <w:top w:val="single" w:sz="4" w:space="0" w:color="auto"/>
              <w:left w:val="single" w:sz="4" w:space="0" w:color="auto"/>
              <w:bottom w:val="nil"/>
              <w:right w:val="single" w:sz="4" w:space="0" w:color="auto"/>
            </w:tcBorders>
          </w:tcPr>
          <w:p w:rsidR="00C265AB" w:rsidRPr="00C265AB" w:rsidRDefault="00C265AB" w:rsidP="004514C6">
            <w:pPr>
              <w:tabs>
                <w:tab w:val="left" w:pos="567"/>
                <w:tab w:val="left" w:pos="1134"/>
              </w:tabs>
              <w:rPr>
                <w:rFonts w:cs="Arial"/>
                <w:sz w:val="20"/>
                <w:highlight w:val="green"/>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p>
        </w:tc>
        <w:tc>
          <w:tcPr>
            <w:tcW w:w="0" w:type="auto"/>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rPr>
            </w:pPr>
          </w:p>
        </w:tc>
        <w:tc>
          <w:tcPr>
            <w:tcW w:w="894" w:type="dxa"/>
            <w:tcBorders>
              <w:top w:val="single" w:sz="4" w:space="0" w:color="auto"/>
              <w:left w:val="single" w:sz="4" w:space="0" w:color="auto"/>
              <w:bottom w:val="nil"/>
              <w:right w:val="single" w:sz="4" w:space="0" w:color="auto"/>
            </w:tcBorders>
            <w:vAlign w:val="center"/>
          </w:tcPr>
          <w:p w:rsidR="00C265AB" w:rsidRPr="00C265AB" w:rsidRDefault="00C265AB" w:rsidP="004514C6">
            <w:pPr>
              <w:tabs>
                <w:tab w:val="left" w:pos="567"/>
                <w:tab w:val="left" w:pos="1134"/>
              </w:tabs>
              <w:jc w:val="center"/>
              <w:rPr>
                <w:rFonts w:cs="Arial"/>
                <w:sz w:val="20"/>
                <w:highlight w:val="green"/>
              </w:rPr>
            </w:pPr>
          </w:p>
        </w:tc>
      </w:tr>
      <w:tr w:rsidR="00C265AB" w:rsidRPr="00C265AB" w:rsidTr="004514C6">
        <w:trPr>
          <w:trHeight w:val="285"/>
        </w:trPr>
        <w:tc>
          <w:tcPr>
            <w:tcW w:w="0" w:type="auto"/>
            <w:tcBorders>
              <w:top w:val="nil"/>
              <w:left w:val="single" w:sz="4" w:space="0" w:color="auto"/>
              <w:bottom w:val="single" w:sz="4" w:space="0" w:color="auto"/>
              <w:right w:val="single" w:sz="4" w:space="0" w:color="auto"/>
            </w:tcBorders>
          </w:tcPr>
          <w:p w:rsidR="00C265AB" w:rsidRPr="00C265AB" w:rsidRDefault="00C265AB" w:rsidP="004514C6">
            <w:pPr>
              <w:tabs>
                <w:tab w:val="left" w:pos="567"/>
                <w:tab w:val="left" w:pos="1134"/>
              </w:tabs>
              <w:rPr>
                <w:rFonts w:cs="Arial"/>
                <w:sz w:val="20"/>
              </w:rPr>
            </w:pPr>
            <w:r w:rsidRPr="00C265AB">
              <w:rPr>
                <w:rFonts w:cs="Arial"/>
                <w:sz w:val="20"/>
              </w:rPr>
              <w:t>Resources</w:t>
            </w:r>
          </w:p>
          <w:p w:rsidR="00C265AB" w:rsidRPr="00C265AB" w:rsidRDefault="00C265AB" w:rsidP="004514C6">
            <w:pPr>
              <w:tabs>
                <w:tab w:val="left" w:pos="567"/>
                <w:tab w:val="left" w:pos="1134"/>
              </w:tabs>
              <w:rPr>
                <w:rFonts w:cs="Arial"/>
                <w:sz w:val="20"/>
              </w:rPr>
            </w:pPr>
          </w:p>
        </w:tc>
        <w:tc>
          <w:tcPr>
            <w:tcW w:w="0" w:type="auto"/>
            <w:tcBorders>
              <w:top w:val="nil"/>
              <w:left w:val="single" w:sz="4" w:space="0" w:color="auto"/>
              <w:bottom w:val="single" w:sz="4" w:space="0" w:color="auto"/>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705.0</w:t>
            </w:r>
          </w:p>
        </w:tc>
        <w:tc>
          <w:tcPr>
            <w:tcW w:w="0" w:type="auto"/>
            <w:tcBorders>
              <w:top w:val="nil"/>
              <w:left w:val="single" w:sz="4" w:space="0" w:color="auto"/>
              <w:bottom w:val="single" w:sz="4" w:space="0" w:color="auto"/>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684.2</w:t>
            </w:r>
          </w:p>
        </w:tc>
        <w:tc>
          <w:tcPr>
            <w:tcW w:w="0" w:type="auto"/>
            <w:tcBorders>
              <w:top w:val="nil"/>
              <w:left w:val="single" w:sz="4" w:space="0" w:color="auto"/>
              <w:bottom w:val="single" w:sz="4" w:space="0" w:color="auto"/>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669.0</w:t>
            </w:r>
          </w:p>
        </w:tc>
        <w:tc>
          <w:tcPr>
            <w:tcW w:w="0" w:type="auto"/>
            <w:tcBorders>
              <w:top w:val="nil"/>
              <w:left w:val="single" w:sz="4" w:space="0" w:color="auto"/>
              <w:bottom w:val="single" w:sz="4" w:space="0" w:color="auto"/>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663.8</w:t>
            </w:r>
          </w:p>
        </w:tc>
        <w:tc>
          <w:tcPr>
            <w:tcW w:w="0" w:type="auto"/>
            <w:tcBorders>
              <w:top w:val="nil"/>
              <w:left w:val="single" w:sz="4" w:space="0" w:color="auto"/>
              <w:bottom w:val="single" w:sz="4" w:space="0" w:color="auto"/>
              <w:right w:val="single" w:sz="4" w:space="0" w:color="auto"/>
            </w:tcBorders>
            <w:vAlign w:val="center"/>
          </w:tcPr>
          <w:p w:rsidR="00C265AB" w:rsidRPr="00C265AB" w:rsidRDefault="00C265AB" w:rsidP="004514C6">
            <w:pPr>
              <w:tabs>
                <w:tab w:val="left" w:pos="567"/>
                <w:tab w:val="left" w:pos="1134"/>
              </w:tabs>
              <w:jc w:val="center"/>
              <w:rPr>
                <w:rFonts w:cs="Arial"/>
                <w:sz w:val="20"/>
              </w:rPr>
            </w:pPr>
            <w:r w:rsidRPr="00C265AB">
              <w:rPr>
                <w:rFonts w:cs="Arial"/>
                <w:sz w:val="20"/>
              </w:rPr>
              <w:t>663.9</w:t>
            </w:r>
          </w:p>
        </w:tc>
        <w:tc>
          <w:tcPr>
            <w:tcW w:w="894" w:type="dxa"/>
            <w:tcBorders>
              <w:top w:val="nil"/>
              <w:left w:val="single" w:sz="4" w:space="0" w:color="auto"/>
              <w:bottom w:val="single" w:sz="4" w:space="0" w:color="auto"/>
            </w:tcBorders>
            <w:vAlign w:val="center"/>
          </w:tcPr>
          <w:p w:rsidR="00C265AB" w:rsidRPr="00C265AB" w:rsidRDefault="00C265AB" w:rsidP="004514C6">
            <w:pPr>
              <w:tabs>
                <w:tab w:val="left" w:pos="567"/>
                <w:tab w:val="left" w:pos="1134"/>
              </w:tabs>
              <w:jc w:val="center"/>
              <w:rPr>
                <w:rFonts w:cs="Arial"/>
                <w:sz w:val="20"/>
              </w:rPr>
            </w:pPr>
          </w:p>
        </w:tc>
      </w:tr>
      <w:tr w:rsidR="00C265AB" w:rsidRPr="00C265AB" w:rsidTr="004514C6">
        <w:trPr>
          <w:trHeight w:val="255"/>
        </w:trPr>
        <w:tc>
          <w:tcPr>
            <w:tcW w:w="0" w:type="auto"/>
            <w:tcBorders>
              <w:top w:val="single" w:sz="4" w:space="0" w:color="auto"/>
              <w:bottom w:val="single" w:sz="4" w:space="0" w:color="auto"/>
            </w:tcBorders>
          </w:tcPr>
          <w:p w:rsidR="00C265AB" w:rsidRPr="00C265AB" w:rsidRDefault="00C265AB" w:rsidP="004514C6">
            <w:pPr>
              <w:tabs>
                <w:tab w:val="left" w:pos="567"/>
                <w:tab w:val="left" w:pos="1134"/>
              </w:tabs>
              <w:rPr>
                <w:rFonts w:cs="Arial"/>
                <w:b/>
                <w:sz w:val="20"/>
              </w:rPr>
            </w:pPr>
          </w:p>
          <w:p w:rsidR="00C265AB" w:rsidRPr="00C265AB" w:rsidRDefault="00C265AB" w:rsidP="004514C6">
            <w:pPr>
              <w:tabs>
                <w:tab w:val="left" w:pos="567"/>
                <w:tab w:val="left" w:pos="1134"/>
              </w:tabs>
              <w:rPr>
                <w:rFonts w:cs="Arial"/>
                <w:b/>
                <w:sz w:val="20"/>
              </w:rPr>
            </w:pPr>
            <w:r w:rsidRPr="00C265AB">
              <w:rPr>
                <w:rFonts w:cs="Arial"/>
                <w:b/>
                <w:sz w:val="20"/>
              </w:rPr>
              <w:t>Funding Gap</w:t>
            </w:r>
          </w:p>
          <w:p w:rsidR="00C265AB" w:rsidRPr="00C265AB" w:rsidRDefault="00C265AB" w:rsidP="004514C6">
            <w:pPr>
              <w:tabs>
                <w:tab w:val="left" w:pos="567"/>
                <w:tab w:val="left" w:pos="1134"/>
              </w:tabs>
              <w:rPr>
                <w:rFonts w:cs="Arial"/>
                <w:b/>
                <w:sz w:val="20"/>
              </w:rPr>
            </w:pPr>
          </w:p>
        </w:tc>
        <w:tc>
          <w:tcPr>
            <w:tcW w:w="0" w:type="auto"/>
            <w:tcBorders>
              <w:top w:val="single" w:sz="4" w:space="0" w:color="auto"/>
              <w:bottom w:val="single" w:sz="4" w:space="0" w:color="auto"/>
            </w:tcBorders>
            <w:vAlign w:val="center"/>
          </w:tcPr>
          <w:p w:rsidR="00C265AB" w:rsidRPr="00C265AB" w:rsidRDefault="00C265AB" w:rsidP="0081782E">
            <w:pPr>
              <w:tabs>
                <w:tab w:val="left" w:pos="567"/>
                <w:tab w:val="left" w:pos="1134"/>
              </w:tabs>
              <w:jc w:val="center"/>
              <w:rPr>
                <w:rFonts w:cs="Arial"/>
                <w:b/>
                <w:sz w:val="20"/>
              </w:rPr>
            </w:pPr>
            <w:r w:rsidRPr="00C265AB">
              <w:rPr>
                <w:rFonts w:cs="Arial"/>
                <w:b/>
                <w:sz w:val="20"/>
              </w:rPr>
              <w:t>9</w:t>
            </w:r>
            <w:r w:rsidR="0081782E">
              <w:rPr>
                <w:rFonts w:cs="Arial"/>
                <w:b/>
                <w:sz w:val="20"/>
              </w:rPr>
              <w:t>0</w:t>
            </w:r>
            <w:r w:rsidRPr="00C265AB">
              <w:rPr>
                <w:rFonts w:cs="Arial"/>
                <w:b/>
                <w:sz w:val="20"/>
              </w:rPr>
              <w:t>.2</w:t>
            </w:r>
          </w:p>
        </w:tc>
        <w:tc>
          <w:tcPr>
            <w:tcW w:w="0" w:type="auto"/>
            <w:tcBorders>
              <w:top w:val="single" w:sz="4" w:space="0" w:color="auto"/>
              <w:bottom w:val="single" w:sz="4" w:space="0" w:color="auto"/>
            </w:tcBorders>
            <w:vAlign w:val="center"/>
          </w:tcPr>
          <w:p w:rsidR="00C265AB" w:rsidRPr="00C265AB" w:rsidRDefault="0081782E" w:rsidP="0081782E">
            <w:pPr>
              <w:tabs>
                <w:tab w:val="left" w:pos="567"/>
                <w:tab w:val="left" w:pos="1134"/>
              </w:tabs>
              <w:jc w:val="center"/>
              <w:rPr>
                <w:rFonts w:cs="Arial"/>
                <w:b/>
                <w:sz w:val="20"/>
              </w:rPr>
            </w:pPr>
            <w:r>
              <w:rPr>
                <w:rFonts w:cs="Arial"/>
                <w:b/>
                <w:sz w:val="20"/>
              </w:rPr>
              <w:t>21.9</w:t>
            </w:r>
          </w:p>
        </w:tc>
        <w:tc>
          <w:tcPr>
            <w:tcW w:w="0" w:type="auto"/>
            <w:tcBorders>
              <w:top w:val="single" w:sz="4" w:space="0" w:color="auto"/>
              <w:bottom w:val="single" w:sz="4" w:space="0" w:color="auto"/>
            </w:tcBorders>
            <w:vAlign w:val="center"/>
          </w:tcPr>
          <w:p w:rsidR="00C265AB" w:rsidRPr="00C265AB" w:rsidRDefault="00C265AB" w:rsidP="004514C6">
            <w:pPr>
              <w:tabs>
                <w:tab w:val="left" w:pos="567"/>
                <w:tab w:val="left" w:pos="1134"/>
              </w:tabs>
              <w:jc w:val="center"/>
              <w:rPr>
                <w:rFonts w:cs="Arial"/>
                <w:b/>
                <w:sz w:val="20"/>
              </w:rPr>
            </w:pPr>
            <w:r w:rsidRPr="00C265AB">
              <w:rPr>
                <w:rFonts w:cs="Arial"/>
                <w:b/>
                <w:sz w:val="20"/>
              </w:rPr>
              <w:t>56.0</w:t>
            </w:r>
          </w:p>
        </w:tc>
        <w:tc>
          <w:tcPr>
            <w:tcW w:w="0" w:type="auto"/>
            <w:tcBorders>
              <w:top w:val="single" w:sz="4" w:space="0" w:color="auto"/>
              <w:bottom w:val="single" w:sz="4" w:space="0" w:color="auto"/>
            </w:tcBorders>
            <w:vAlign w:val="center"/>
          </w:tcPr>
          <w:p w:rsidR="00C265AB" w:rsidRPr="00C265AB" w:rsidRDefault="00C265AB" w:rsidP="004514C6">
            <w:pPr>
              <w:tabs>
                <w:tab w:val="left" w:pos="567"/>
                <w:tab w:val="left" w:pos="1134"/>
              </w:tabs>
              <w:jc w:val="center"/>
              <w:rPr>
                <w:rFonts w:cs="Arial"/>
                <w:b/>
                <w:sz w:val="20"/>
              </w:rPr>
            </w:pPr>
            <w:r w:rsidRPr="00C265AB">
              <w:rPr>
                <w:rFonts w:cs="Arial"/>
                <w:b/>
                <w:sz w:val="20"/>
              </w:rPr>
              <w:t>47.6</w:t>
            </w:r>
          </w:p>
        </w:tc>
        <w:tc>
          <w:tcPr>
            <w:tcW w:w="0" w:type="auto"/>
            <w:tcBorders>
              <w:top w:val="single" w:sz="4" w:space="0" w:color="auto"/>
              <w:bottom w:val="single" w:sz="4" w:space="0" w:color="auto"/>
            </w:tcBorders>
            <w:vAlign w:val="center"/>
          </w:tcPr>
          <w:p w:rsidR="00C265AB" w:rsidRPr="00C265AB" w:rsidRDefault="00C265AB" w:rsidP="004514C6">
            <w:pPr>
              <w:tabs>
                <w:tab w:val="left" w:pos="567"/>
                <w:tab w:val="left" w:pos="1134"/>
              </w:tabs>
              <w:jc w:val="center"/>
              <w:rPr>
                <w:rFonts w:cs="Arial"/>
                <w:b/>
                <w:sz w:val="20"/>
              </w:rPr>
            </w:pPr>
            <w:r w:rsidRPr="00C265AB">
              <w:rPr>
                <w:rFonts w:cs="Arial"/>
                <w:b/>
                <w:sz w:val="20"/>
              </w:rPr>
              <w:t>46.3</w:t>
            </w:r>
          </w:p>
        </w:tc>
        <w:tc>
          <w:tcPr>
            <w:tcW w:w="894" w:type="dxa"/>
            <w:tcBorders>
              <w:top w:val="single" w:sz="4" w:space="0" w:color="auto"/>
              <w:bottom w:val="single" w:sz="4" w:space="0" w:color="auto"/>
            </w:tcBorders>
            <w:vAlign w:val="center"/>
          </w:tcPr>
          <w:p w:rsidR="00C265AB" w:rsidRPr="00C265AB" w:rsidRDefault="00C265AB" w:rsidP="004514C6">
            <w:pPr>
              <w:tabs>
                <w:tab w:val="left" w:pos="567"/>
                <w:tab w:val="left" w:pos="1134"/>
              </w:tabs>
              <w:jc w:val="center"/>
              <w:rPr>
                <w:rFonts w:cs="Arial"/>
                <w:b/>
                <w:sz w:val="20"/>
              </w:rPr>
            </w:pPr>
            <w:r w:rsidRPr="00C265AB">
              <w:rPr>
                <w:rFonts w:cs="Arial"/>
                <w:b/>
                <w:sz w:val="20"/>
              </w:rPr>
              <w:t>262.0</w:t>
            </w:r>
          </w:p>
        </w:tc>
      </w:tr>
    </w:tbl>
    <w:p w:rsidR="00C265AB" w:rsidRDefault="00C265AB" w:rsidP="00F77791">
      <w:pPr>
        <w:pStyle w:val="NoSpacing"/>
        <w:jc w:val="both"/>
        <w:rPr>
          <w:rFonts w:ascii="Arial" w:hAnsi="Arial" w:cs="Arial"/>
          <w:sz w:val="24"/>
          <w:szCs w:val="24"/>
        </w:rPr>
      </w:pPr>
    </w:p>
    <w:p w:rsidR="00C265AB" w:rsidRDefault="00C265AB" w:rsidP="00F77791">
      <w:pPr>
        <w:pStyle w:val="NoSpacing"/>
        <w:jc w:val="both"/>
        <w:rPr>
          <w:rFonts w:ascii="Arial" w:hAnsi="Arial" w:cs="Arial"/>
          <w:sz w:val="24"/>
          <w:szCs w:val="24"/>
        </w:rPr>
      </w:pPr>
    </w:p>
    <w:p w:rsidR="00F77791" w:rsidRDefault="00F77791" w:rsidP="00F77791">
      <w:pPr>
        <w:pStyle w:val="NoSpacing"/>
        <w:jc w:val="both"/>
        <w:rPr>
          <w:rFonts w:ascii="Arial" w:hAnsi="Arial" w:cs="Arial"/>
          <w:sz w:val="24"/>
          <w:szCs w:val="24"/>
        </w:rPr>
      </w:pPr>
      <w:r>
        <w:rPr>
          <w:rFonts w:ascii="Arial" w:hAnsi="Arial" w:cs="Arial"/>
          <w:sz w:val="24"/>
          <w:szCs w:val="24"/>
        </w:rPr>
        <w:t>The Base Budget Review analysis has demonstrated that from April 2018 the council will not have sufficient financial resources to meet its statutory obligations</w:t>
      </w:r>
      <w:r w:rsidR="000814D4">
        <w:rPr>
          <w:rFonts w:ascii="Arial" w:hAnsi="Arial" w:cs="Arial"/>
          <w:sz w:val="24"/>
          <w:szCs w:val="24"/>
        </w:rPr>
        <w:t xml:space="preserve"> without additional financial support from Central Government</w:t>
      </w:r>
      <w:r>
        <w:rPr>
          <w:rFonts w:ascii="Arial" w:hAnsi="Arial" w:cs="Arial"/>
          <w:sz w:val="24"/>
          <w:szCs w:val="24"/>
        </w:rPr>
        <w:t>.  The Review has also indicated that the 2016/17 and 2017/18 budgets will need to rely heavily on reserves in order to set a balanced budget.</w:t>
      </w:r>
    </w:p>
    <w:p w:rsidR="00F77791" w:rsidRDefault="00F77791" w:rsidP="00F77791">
      <w:pPr>
        <w:pStyle w:val="NoSpacing"/>
        <w:rPr>
          <w:rFonts w:ascii="Arial" w:hAnsi="Arial" w:cs="Arial"/>
          <w:sz w:val="24"/>
          <w:szCs w:val="24"/>
        </w:rPr>
      </w:pPr>
    </w:p>
    <w:p w:rsidR="00F77791" w:rsidRDefault="00F77791" w:rsidP="00F77791">
      <w:pPr>
        <w:pStyle w:val="NoSpacing"/>
        <w:jc w:val="both"/>
        <w:rPr>
          <w:rFonts w:ascii="Arial" w:hAnsi="Arial" w:cs="Arial"/>
          <w:sz w:val="24"/>
          <w:szCs w:val="24"/>
        </w:rPr>
      </w:pPr>
      <w:r>
        <w:rPr>
          <w:rFonts w:ascii="Arial" w:hAnsi="Arial" w:cs="Arial"/>
          <w:sz w:val="24"/>
          <w:szCs w:val="24"/>
        </w:rPr>
        <w:t>The Chancellor’s Autumn Statement has the potential to add to this financial challenge, as Local Government expenditure is an unprotected area within the Comprehensive Spending Review (CSR).</w:t>
      </w:r>
    </w:p>
    <w:p w:rsidR="00F77791" w:rsidRDefault="00F77791" w:rsidP="00F77791">
      <w:pPr>
        <w:pStyle w:val="NoSpacing"/>
        <w:rPr>
          <w:rFonts w:ascii="Arial" w:hAnsi="Arial" w:cs="Arial"/>
          <w:sz w:val="24"/>
          <w:szCs w:val="24"/>
        </w:rPr>
      </w:pPr>
    </w:p>
    <w:p w:rsidR="00F77791" w:rsidRDefault="00F77791" w:rsidP="00F77791">
      <w:pPr>
        <w:jc w:val="both"/>
        <w:rPr>
          <w:rFonts w:cs="Arial"/>
          <w:szCs w:val="24"/>
        </w:rPr>
      </w:pPr>
      <w:r>
        <w:rPr>
          <w:rFonts w:cs="Arial"/>
          <w:szCs w:val="24"/>
        </w:rPr>
        <w:t>This report sets out both immediate budget proposals and an approach to the long term financial sustainability of the council.</w:t>
      </w:r>
    </w:p>
    <w:p w:rsidR="00534160" w:rsidRDefault="00534160" w:rsidP="00F77791">
      <w:pPr>
        <w:jc w:val="both"/>
        <w:rPr>
          <w:rFonts w:cs="Arial"/>
          <w:szCs w:val="24"/>
        </w:rPr>
      </w:pPr>
    </w:p>
    <w:p w:rsidR="00F77791" w:rsidRDefault="00F77791" w:rsidP="00F77791">
      <w:pPr>
        <w:pStyle w:val="NoSpacing"/>
        <w:rPr>
          <w:rFonts w:ascii="Arial" w:hAnsi="Arial" w:cs="Arial"/>
          <w:b/>
          <w:sz w:val="24"/>
          <w:szCs w:val="24"/>
        </w:rPr>
      </w:pPr>
      <w:r w:rsidRPr="00276FE9">
        <w:rPr>
          <w:rFonts w:ascii="Arial" w:hAnsi="Arial" w:cs="Arial"/>
          <w:b/>
          <w:sz w:val="24"/>
          <w:szCs w:val="24"/>
        </w:rPr>
        <w:t xml:space="preserve">The Financial </w:t>
      </w:r>
      <w:r>
        <w:rPr>
          <w:rFonts w:ascii="Arial" w:hAnsi="Arial" w:cs="Arial"/>
          <w:b/>
          <w:sz w:val="24"/>
          <w:szCs w:val="24"/>
        </w:rPr>
        <w:t xml:space="preserve">Sustainability </w:t>
      </w:r>
      <w:r w:rsidRPr="00276FE9">
        <w:rPr>
          <w:rFonts w:ascii="Arial" w:hAnsi="Arial" w:cs="Arial"/>
          <w:b/>
          <w:sz w:val="24"/>
          <w:szCs w:val="24"/>
        </w:rPr>
        <w:t xml:space="preserve">of the Council </w:t>
      </w:r>
    </w:p>
    <w:p w:rsidR="00F77791" w:rsidRDefault="00F77791" w:rsidP="00F77791">
      <w:pPr>
        <w:pStyle w:val="NoSpacing"/>
        <w:rPr>
          <w:rFonts w:ascii="Arial" w:hAnsi="Arial" w:cs="Arial"/>
          <w:b/>
          <w:sz w:val="24"/>
          <w:szCs w:val="24"/>
        </w:rPr>
      </w:pPr>
    </w:p>
    <w:p w:rsidR="00F77791" w:rsidRDefault="00F77791" w:rsidP="00F77791">
      <w:pPr>
        <w:pStyle w:val="NoSpacing"/>
        <w:jc w:val="both"/>
        <w:rPr>
          <w:rFonts w:ascii="Arial" w:hAnsi="Arial" w:cs="Arial"/>
          <w:sz w:val="24"/>
          <w:szCs w:val="24"/>
        </w:rPr>
      </w:pPr>
      <w:r>
        <w:rPr>
          <w:rFonts w:ascii="Arial" w:hAnsi="Arial" w:cs="Arial"/>
          <w:sz w:val="24"/>
          <w:szCs w:val="24"/>
        </w:rPr>
        <w:t>Lancashire County Council is not alone in this financial challenge.  The whole of the public sector in Lancashire is facing severe financial conditions that give rise to fundamental questions as to the nature, scale and sustainability of public services in the county.  Health and social care services in Lancashire are forecast to have a budget shortfall by 2020/21 of £8</w:t>
      </w:r>
      <w:r w:rsidR="00B05556">
        <w:rPr>
          <w:rFonts w:ascii="Arial" w:hAnsi="Arial" w:cs="Arial"/>
          <w:sz w:val="24"/>
          <w:szCs w:val="24"/>
        </w:rPr>
        <w:t>0</w:t>
      </w:r>
      <w:r>
        <w:rPr>
          <w:rFonts w:ascii="Arial" w:hAnsi="Arial" w:cs="Arial"/>
          <w:sz w:val="24"/>
          <w:szCs w:val="24"/>
        </w:rPr>
        <w:t>0m.  The Police and Fire and Rescue Service face significant reductions in expenditure over this period, as do the district and unitary councils across Lancashire.</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 xml:space="preserve">It is clear that the county council, in its present form, is not a financially </w:t>
      </w:r>
      <w:r w:rsidR="002840D7">
        <w:rPr>
          <w:rFonts w:ascii="Arial" w:hAnsi="Arial" w:cs="Arial"/>
          <w:sz w:val="24"/>
          <w:szCs w:val="24"/>
        </w:rPr>
        <w:t>sustainable</w:t>
      </w:r>
      <w:r>
        <w:rPr>
          <w:rFonts w:ascii="Arial" w:hAnsi="Arial" w:cs="Arial"/>
          <w:sz w:val="24"/>
          <w:szCs w:val="24"/>
        </w:rPr>
        <w:t xml:space="preserve"> organisation in the medium term. </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lastRenderedPageBreak/>
        <w:t>In the Base Budget Review Report, conside</w:t>
      </w:r>
      <w:r w:rsidR="002840D7">
        <w:rPr>
          <w:rFonts w:ascii="Arial" w:hAnsi="Arial" w:cs="Arial"/>
          <w:sz w:val="24"/>
          <w:szCs w:val="24"/>
        </w:rPr>
        <w:t>red</w:t>
      </w:r>
      <w:r>
        <w:rPr>
          <w:rFonts w:ascii="Arial" w:hAnsi="Arial" w:cs="Arial"/>
          <w:sz w:val="24"/>
          <w:szCs w:val="24"/>
        </w:rPr>
        <w:t xml:space="preserve"> by Cabinet in August 2015, it was proposed that there was a need for a fundamental review of the council’s operating model.  This work needs to commence early in 2016, however, it cannot be done in isolation and needs to consider the entire public service context within which the council operates.</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The outcome of the CSR will provide the overarching financial context within which public services in Lancashire will need to operate.  There is a rapidly changing financial context for local government with changes to its funding mechanisms and the government’s devolution and decentralisation agenda.  The integration of health and social care and the way local government and the NHS work together will be a fundamental consideration.  The growing service demands of an aging population and the dominance of social care expenditure within the county council’s budget will require the council to consider its future operating model in conjunction with the NHS.</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The proposed Combined Authority for Lancashire also provides an embryonic governance context for consideration of pan-Lancashire public service issues.</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 xml:space="preserve">It is proposed that external consultants be appointed in the New Year to assist the county council in scoping and undertaking the review of its operating model.  A key part of the brief will be the development of a public service operating model for the </w:t>
      </w:r>
      <w:r w:rsidR="003E7F03">
        <w:rPr>
          <w:rFonts w:ascii="Arial" w:hAnsi="Arial" w:cs="Arial"/>
          <w:sz w:val="24"/>
          <w:szCs w:val="24"/>
        </w:rPr>
        <w:t>council to</w:t>
      </w:r>
      <w:r>
        <w:rPr>
          <w:rFonts w:ascii="Arial" w:hAnsi="Arial" w:cs="Arial"/>
          <w:sz w:val="24"/>
          <w:szCs w:val="24"/>
        </w:rPr>
        <w:t xml:space="preserve"> enable it to be sustainable, within its forecast financial resource envelope, by 2020/21</w:t>
      </w:r>
      <w:r w:rsidR="003028F0">
        <w:rPr>
          <w:rFonts w:ascii="Arial" w:hAnsi="Arial" w:cs="Arial"/>
          <w:sz w:val="24"/>
          <w:szCs w:val="24"/>
        </w:rPr>
        <w:t>.</w:t>
      </w:r>
    </w:p>
    <w:p w:rsidR="00F77791" w:rsidRDefault="00F77791" w:rsidP="00F77791">
      <w:pPr>
        <w:pStyle w:val="NoSpacing"/>
        <w:rPr>
          <w:rFonts w:ascii="Arial" w:hAnsi="Arial" w:cs="Arial"/>
          <w:sz w:val="24"/>
          <w:szCs w:val="24"/>
        </w:rPr>
      </w:pPr>
    </w:p>
    <w:p w:rsidR="00F77791" w:rsidRPr="0076443F" w:rsidRDefault="00F77791" w:rsidP="00F77791">
      <w:pPr>
        <w:pStyle w:val="NoSpacing"/>
        <w:rPr>
          <w:rFonts w:ascii="Arial" w:hAnsi="Arial" w:cs="Arial"/>
          <w:b/>
          <w:sz w:val="24"/>
          <w:szCs w:val="24"/>
        </w:rPr>
      </w:pPr>
      <w:r w:rsidRPr="0076443F">
        <w:rPr>
          <w:rFonts w:ascii="Arial" w:hAnsi="Arial" w:cs="Arial"/>
          <w:b/>
          <w:sz w:val="24"/>
          <w:szCs w:val="24"/>
        </w:rPr>
        <w:t>A Corporate Spending Policy</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The Peer Review of the council undertaken in 2014 identified the council as a high spending authority.  Further work as part of the Base Budget Review has identified significant areas where the council spends on a per-capita basis at a significantly higher level than other similar authorities.</w:t>
      </w:r>
    </w:p>
    <w:p w:rsidR="00F77791" w:rsidRDefault="00F77791" w:rsidP="00F77791">
      <w:pPr>
        <w:pStyle w:val="NoSpacing"/>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 xml:space="preserve">LGFutures has produced benchmarking reports on council expenditure using councils’ budget returns for 2015/16.  The report for Lancashire is attached at Appendix </w:t>
      </w:r>
      <w:r w:rsidR="00C265AB">
        <w:rPr>
          <w:rFonts w:ascii="Arial" w:hAnsi="Arial" w:cs="Arial"/>
          <w:sz w:val="24"/>
          <w:szCs w:val="24"/>
        </w:rPr>
        <w:t>C</w:t>
      </w:r>
      <w:r>
        <w:rPr>
          <w:rFonts w:ascii="Arial" w:hAnsi="Arial" w:cs="Arial"/>
          <w:sz w:val="24"/>
          <w:szCs w:val="24"/>
        </w:rPr>
        <w:t>, which compares Lancashire County Council with its 1</w:t>
      </w:r>
      <w:r w:rsidR="002840D7">
        <w:rPr>
          <w:rFonts w:ascii="Arial" w:hAnsi="Arial" w:cs="Arial"/>
          <w:sz w:val="24"/>
          <w:szCs w:val="24"/>
        </w:rPr>
        <w:t>5</w:t>
      </w:r>
      <w:r>
        <w:rPr>
          <w:rFonts w:ascii="Arial" w:hAnsi="Arial" w:cs="Arial"/>
          <w:sz w:val="24"/>
          <w:szCs w:val="24"/>
        </w:rPr>
        <w:t xml:space="preserve"> nearest neighbour county councils.   The summary </w:t>
      </w:r>
      <w:r w:rsidR="006A5F77">
        <w:rPr>
          <w:rFonts w:ascii="Arial" w:hAnsi="Arial" w:cs="Arial"/>
          <w:sz w:val="24"/>
          <w:szCs w:val="24"/>
        </w:rPr>
        <w:t>in</w:t>
      </w:r>
      <w:r>
        <w:rPr>
          <w:rFonts w:ascii="Arial" w:hAnsi="Arial" w:cs="Arial"/>
          <w:sz w:val="24"/>
          <w:szCs w:val="24"/>
        </w:rPr>
        <w:t xml:space="preserve"> the report indicates that the council could save a notional £16</w:t>
      </w:r>
      <w:r w:rsidR="00DE3C10">
        <w:rPr>
          <w:rFonts w:ascii="Arial" w:hAnsi="Arial" w:cs="Arial"/>
          <w:sz w:val="24"/>
          <w:szCs w:val="24"/>
        </w:rPr>
        <w:t>3</w:t>
      </w:r>
      <w:r w:rsidR="002840D7">
        <w:rPr>
          <w:rFonts w:ascii="Arial" w:hAnsi="Arial" w:cs="Arial"/>
          <w:sz w:val="24"/>
          <w:szCs w:val="24"/>
        </w:rPr>
        <w:t>.3</w:t>
      </w:r>
      <w:r w:rsidR="00E82A39">
        <w:rPr>
          <w:rFonts w:ascii="Arial" w:hAnsi="Arial" w:cs="Arial"/>
          <w:sz w:val="24"/>
          <w:szCs w:val="24"/>
        </w:rPr>
        <w:t>m</w:t>
      </w:r>
      <w:r>
        <w:rPr>
          <w:rFonts w:ascii="Arial" w:hAnsi="Arial" w:cs="Arial"/>
          <w:sz w:val="24"/>
          <w:szCs w:val="24"/>
        </w:rPr>
        <w:t xml:space="preserve"> if it were to spend at the </w:t>
      </w:r>
      <w:r w:rsidR="002840D7">
        <w:rPr>
          <w:rFonts w:ascii="Arial" w:hAnsi="Arial" w:cs="Arial"/>
          <w:sz w:val="24"/>
          <w:szCs w:val="24"/>
        </w:rPr>
        <w:t xml:space="preserve">current </w:t>
      </w:r>
      <w:r>
        <w:rPr>
          <w:rFonts w:ascii="Arial" w:hAnsi="Arial" w:cs="Arial"/>
          <w:sz w:val="24"/>
          <w:szCs w:val="24"/>
        </w:rPr>
        <w:t>level of the lowest quartile</w:t>
      </w:r>
      <w:r w:rsidR="002840D7">
        <w:rPr>
          <w:rFonts w:ascii="Arial" w:hAnsi="Arial" w:cs="Arial"/>
          <w:sz w:val="24"/>
          <w:szCs w:val="24"/>
        </w:rPr>
        <w:t xml:space="preserve"> of the nearest neighbour </w:t>
      </w:r>
      <w:r>
        <w:rPr>
          <w:rFonts w:ascii="Arial" w:hAnsi="Arial" w:cs="Arial"/>
          <w:sz w:val="24"/>
          <w:szCs w:val="24"/>
        </w:rPr>
        <w:t>councils in the group</w:t>
      </w:r>
      <w:r w:rsidR="000814D4">
        <w:rPr>
          <w:rFonts w:ascii="Arial" w:hAnsi="Arial" w:cs="Arial"/>
          <w:sz w:val="24"/>
          <w:szCs w:val="24"/>
        </w:rPr>
        <w:t>.</w:t>
      </w:r>
    </w:p>
    <w:p w:rsidR="00C265AB" w:rsidRDefault="00C265AB" w:rsidP="002840D7">
      <w:pPr>
        <w:pStyle w:val="NoSpacing"/>
        <w:jc w:val="both"/>
        <w:rPr>
          <w:rFonts w:ascii="Arial" w:hAnsi="Arial" w:cs="Arial"/>
          <w:sz w:val="24"/>
          <w:szCs w:val="24"/>
        </w:rPr>
      </w:pPr>
    </w:p>
    <w:p w:rsidR="002840D7" w:rsidRDefault="00F77791" w:rsidP="002840D7">
      <w:pPr>
        <w:pStyle w:val="NoSpacing"/>
        <w:jc w:val="both"/>
        <w:rPr>
          <w:rFonts w:ascii="Arial" w:hAnsi="Arial" w:cs="Arial"/>
          <w:sz w:val="24"/>
          <w:szCs w:val="24"/>
        </w:rPr>
      </w:pPr>
      <w:r>
        <w:rPr>
          <w:rFonts w:ascii="Arial" w:hAnsi="Arial" w:cs="Arial"/>
          <w:sz w:val="24"/>
          <w:szCs w:val="24"/>
        </w:rPr>
        <w:t>Whilst such benchmarking has limitations</w:t>
      </w:r>
      <w:r w:rsidR="0081782E">
        <w:rPr>
          <w:rFonts w:ascii="Arial" w:hAnsi="Arial" w:cs="Arial"/>
          <w:sz w:val="24"/>
          <w:szCs w:val="24"/>
        </w:rPr>
        <w:t>, including being based on budgeted rather than outturn analysis and the comparator group used above may not be the most appropriate in all cases,</w:t>
      </w:r>
      <w:r>
        <w:rPr>
          <w:rFonts w:ascii="Arial" w:hAnsi="Arial" w:cs="Arial"/>
          <w:sz w:val="24"/>
          <w:szCs w:val="24"/>
        </w:rPr>
        <w:t xml:space="preserve"> it does provide an overall spending context for the council.</w:t>
      </w:r>
      <w:r w:rsidR="002840D7">
        <w:rPr>
          <w:rFonts w:ascii="Arial" w:hAnsi="Arial" w:cs="Arial"/>
          <w:sz w:val="24"/>
          <w:szCs w:val="24"/>
        </w:rPr>
        <w:t xml:space="preserve">  </w:t>
      </w:r>
      <w:r>
        <w:rPr>
          <w:rFonts w:ascii="Arial" w:hAnsi="Arial" w:cs="Arial"/>
          <w:sz w:val="24"/>
          <w:szCs w:val="24"/>
        </w:rPr>
        <w:t>Given the need for the council to significantly reduce its expenditure it is proposed that the county council should adopt a formal Corporate Spending Policy that sets a target to operate at an expenditure level for the council equivalent to the lowest quartile of the 1</w:t>
      </w:r>
      <w:r w:rsidR="002840D7">
        <w:rPr>
          <w:rFonts w:ascii="Arial" w:hAnsi="Arial" w:cs="Arial"/>
          <w:sz w:val="24"/>
          <w:szCs w:val="24"/>
        </w:rPr>
        <w:t>6</w:t>
      </w:r>
      <w:r>
        <w:rPr>
          <w:rFonts w:ascii="Arial" w:hAnsi="Arial" w:cs="Arial"/>
          <w:sz w:val="24"/>
          <w:szCs w:val="24"/>
        </w:rPr>
        <w:t xml:space="preserve"> council’s</w:t>
      </w:r>
      <w:r w:rsidR="002840D7">
        <w:rPr>
          <w:rFonts w:ascii="Arial" w:hAnsi="Arial" w:cs="Arial"/>
          <w:sz w:val="24"/>
          <w:szCs w:val="24"/>
        </w:rPr>
        <w:t xml:space="preserve">. </w:t>
      </w:r>
      <w:r w:rsidR="000814D4">
        <w:rPr>
          <w:rFonts w:ascii="Arial" w:hAnsi="Arial" w:cs="Arial"/>
          <w:sz w:val="24"/>
          <w:szCs w:val="24"/>
        </w:rPr>
        <w:t xml:space="preserve"> </w:t>
      </w:r>
      <w:r>
        <w:rPr>
          <w:rFonts w:ascii="Arial" w:hAnsi="Arial" w:cs="Arial"/>
          <w:sz w:val="24"/>
          <w:szCs w:val="24"/>
        </w:rPr>
        <w:t>Further, it is proposed that on service by service basis expenditure levels be set relative to the lowest quartile expenditure for that service category.</w:t>
      </w:r>
      <w:r w:rsidR="002840D7">
        <w:rPr>
          <w:rFonts w:ascii="Arial" w:hAnsi="Arial" w:cs="Arial"/>
          <w:sz w:val="24"/>
          <w:szCs w:val="24"/>
        </w:rPr>
        <w:t xml:space="preserve">  </w:t>
      </w:r>
    </w:p>
    <w:p w:rsidR="000814D4" w:rsidRDefault="000814D4" w:rsidP="002840D7">
      <w:pPr>
        <w:pStyle w:val="NoSpacing"/>
        <w:jc w:val="both"/>
        <w:rPr>
          <w:rFonts w:ascii="Arial" w:hAnsi="Arial" w:cs="Arial"/>
          <w:sz w:val="24"/>
          <w:szCs w:val="24"/>
        </w:rPr>
      </w:pPr>
    </w:p>
    <w:p w:rsidR="00F77791" w:rsidRDefault="00F77791" w:rsidP="002840D7">
      <w:pPr>
        <w:pStyle w:val="NoSpacing"/>
        <w:jc w:val="both"/>
        <w:rPr>
          <w:rFonts w:ascii="Arial" w:hAnsi="Arial" w:cs="Arial"/>
          <w:sz w:val="24"/>
          <w:szCs w:val="24"/>
        </w:rPr>
      </w:pPr>
      <w:r>
        <w:rPr>
          <w:rFonts w:ascii="Arial" w:hAnsi="Arial" w:cs="Arial"/>
          <w:sz w:val="24"/>
          <w:szCs w:val="24"/>
        </w:rPr>
        <w:t xml:space="preserve">There are many and complex factors underlying the level of the council’s current expenditure.  Making the changes needed to achieve such a reduction in the council’s expenditure levels, associated with such an expenditure benchmark, will be difficult </w:t>
      </w:r>
      <w:r>
        <w:rPr>
          <w:rFonts w:ascii="Arial" w:hAnsi="Arial" w:cs="Arial"/>
          <w:sz w:val="24"/>
          <w:szCs w:val="24"/>
        </w:rPr>
        <w:lastRenderedPageBreak/>
        <w:t xml:space="preserve">and could take a considerable time to achieve.  It is proposed that the target date for the </w:t>
      </w:r>
      <w:r w:rsidR="00E82A39">
        <w:rPr>
          <w:rFonts w:ascii="Arial" w:hAnsi="Arial" w:cs="Arial"/>
          <w:sz w:val="24"/>
          <w:szCs w:val="24"/>
        </w:rPr>
        <w:t xml:space="preserve">final </w:t>
      </w:r>
      <w:r>
        <w:rPr>
          <w:rFonts w:ascii="Arial" w:hAnsi="Arial" w:cs="Arial"/>
          <w:sz w:val="24"/>
          <w:szCs w:val="24"/>
        </w:rPr>
        <w:t xml:space="preserve">achievement of the overall council target should be </w:t>
      </w:r>
      <w:r w:rsidR="00E82A39">
        <w:rPr>
          <w:rFonts w:ascii="Arial" w:hAnsi="Arial" w:cs="Arial"/>
          <w:sz w:val="24"/>
          <w:szCs w:val="24"/>
        </w:rPr>
        <w:t xml:space="preserve">by </w:t>
      </w:r>
      <w:r>
        <w:rPr>
          <w:rFonts w:ascii="Arial" w:hAnsi="Arial" w:cs="Arial"/>
          <w:sz w:val="24"/>
          <w:szCs w:val="24"/>
        </w:rPr>
        <w:t>April 2020</w:t>
      </w:r>
      <w:r w:rsidR="00E82A39">
        <w:rPr>
          <w:rFonts w:ascii="Arial" w:hAnsi="Arial" w:cs="Arial"/>
          <w:sz w:val="24"/>
          <w:szCs w:val="24"/>
        </w:rPr>
        <w:t>, although significant progress against the target will need to be made in earlier years given the significant funding gaps of £56m in 2018/19 and £47.6m</w:t>
      </w:r>
      <w:r>
        <w:rPr>
          <w:rFonts w:ascii="Arial" w:hAnsi="Arial" w:cs="Arial"/>
          <w:sz w:val="24"/>
          <w:szCs w:val="24"/>
        </w:rPr>
        <w:t xml:space="preserve"> </w:t>
      </w:r>
      <w:r w:rsidR="00E82A39">
        <w:rPr>
          <w:rFonts w:ascii="Arial" w:hAnsi="Arial" w:cs="Arial"/>
          <w:sz w:val="24"/>
          <w:szCs w:val="24"/>
        </w:rPr>
        <w:t>in 2019/20 identified within the MTFS</w:t>
      </w:r>
      <w:r w:rsidR="00B05556">
        <w:rPr>
          <w:rFonts w:ascii="Arial" w:hAnsi="Arial" w:cs="Arial"/>
          <w:sz w:val="24"/>
          <w:szCs w:val="24"/>
        </w:rPr>
        <w:t>, and the remaining funding gap in 2017/18 of £47.</w:t>
      </w:r>
      <w:r w:rsidR="006F434D">
        <w:rPr>
          <w:rFonts w:ascii="Arial" w:hAnsi="Arial" w:cs="Arial"/>
          <w:sz w:val="24"/>
          <w:szCs w:val="24"/>
        </w:rPr>
        <w:t>2</w:t>
      </w:r>
      <w:r w:rsidR="00B05556">
        <w:rPr>
          <w:rFonts w:ascii="Arial" w:hAnsi="Arial" w:cs="Arial"/>
          <w:sz w:val="24"/>
          <w:szCs w:val="24"/>
        </w:rPr>
        <w:t xml:space="preserve">m that would remain if all </w:t>
      </w:r>
      <w:r w:rsidR="0081782E">
        <w:rPr>
          <w:rFonts w:ascii="Arial" w:hAnsi="Arial" w:cs="Arial"/>
          <w:sz w:val="24"/>
          <w:szCs w:val="24"/>
        </w:rPr>
        <w:t xml:space="preserve">the </w:t>
      </w:r>
      <w:r w:rsidR="00B05556">
        <w:rPr>
          <w:rFonts w:ascii="Arial" w:hAnsi="Arial" w:cs="Arial"/>
          <w:sz w:val="24"/>
          <w:szCs w:val="24"/>
        </w:rPr>
        <w:t xml:space="preserve">budget proposals </w:t>
      </w:r>
      <w:r w:rsidR="0081782E">
        <w:rPr>
          <w:rFonts w:ascii="Arial" w:hAnsi="Arial" w:cs="Arial"/>
          <w:sz w:val="24"/>
          <w:szCs w:val="24"/>
        </w:rPr>
        <w:t xml:space="preserve">attached at </w:t>
      </w:r>
      <w:r w:rsidR="00B05556">
        <w:rPr>
          <w:rFonts w:ascii="Arial" w:hAnsi="Arial" w:cs="Arial"/>
          <w:sz w:val="24"/>
          <w:szCs w:val="24"/>
        </w:rPr>
        <w:t>Appendi</w:t>
      </w:r>
      <w:r w:rsidR="000221C5">
        <w:rPr>
          <w:rFonts w:ascii="Arial" w:hAnsi="Arial" w:cs="Arial"/>
          <w:sz w:val="24"/>
          <w:szCs w:val="24"/>
        </w:rPr>
        <w:t>ces</w:t>
      </w:r>
      <w:r w:rsidR="00B05556">
        <w:rPr>
          <w:rFonts w:ascii="Arial" w:hAnsi="Arial" w:cs="Arial"/>
          <w:sz w:val="24"/>
          <w:szCs w:val="24"/>
        </w:rPr>
        <w:t xml:space="preserve"> </w:t>
      </w:r>
      <w:r w:rsidR="000221C5">
        <w:rPr>
          <w:rFonts w:ascii="Arial" w:hAnsi="Arial" w:cs="Arial"/>
          <w:sz w:val="24"/>
          <w:szCs w:val="24"/>
        </w:rPr>
        <w:t>'</w:t>
      </w:r>
      <w:r w:rsidR="00B05556">
        <w:rPr>
          <w:rFonts w:ascii="Arial" w:hAnsi="Arial" w:cs="Arial"/>
          <w:sz w:val="24"/>
          <w:szCs w:val="24"/>
        </w:rPr>
        <w:t>D</w:t>
      </w:r>
      <w:r w:rsidR="000221C5">
        <w:rPr>
          <w:rFonts w:ascii="Arial" w:hAnsi="Arial" w:cs="Arial"/>
          <w:sz w:val="24"/>
          <w:szCs w:val="24"/>
        </w:rPr>
        <w:t>'</w:t>
      </w:r>
      <w:r w:rsidR="00B05556">
        <w:rPr>
          <w:rFonts w:ascii="Arial" w:hAnsi="Arial" w:cs="Arial"/>
          <w:sz w:val="24"/>
          <w:szCs w:val="24"/>
        </w:rPr>
        <w:t xml:space="preserve"> </w:t>
      </w:r>
      <w:r w:rsidR="000221C5">
        <w:rPr>
          <w:rFonts w:ascii="Arial" w:hAnsi="Arial" w:cs="Arial"/>
          <w:sz w:val="24"/>
          <w:szCs w:val="24"/>
        </w:rPr>
        <w:t xml:space="preserve">and 'E' </w:t>
      </w:r>
      <w:r w:rsidR="00B05556">
        <w:rPr>
          <w:rFonts w:ascii="Arial" w:hAnsi="Arial" w:cs="Arial"/>
          <w:sz w:val="24"/>
          <w:szCs w:val="24"/>
        </w:rPr>
        <w:t>are agreed.</w:t>
      </w:r>
    </w:p>
    <w:p w:rsidR="003028F0" w:rsidRDefault="003028F0" w:rsidP="002840D7">
      <w:pPr>
        <w:pStyle w:val="NoSpacing"/>
        <w:jc w:val="both"/>
        <w:rPr>
          <w:rFonts w:ascii="Arial" w:hAnsi="Arial" w:cs="Arial"/>
          <w:sz w:val="24"/>
          <w:szCs w:val="24"/>
        </w:rPr>
      </w:pPr>
    </w:p>
    <w:p w:rsidR="003028F0" w:rsidRDefault="003028F0" w:rsidP="003028F0">
      <w:pPr>
        <w:jc w:val="both"/>
      </w:pPr>
      <w:r>
        <w:rPr>
          <w:rFonts w:cs="Arial"/>
          <w:szCs w:val="24"/>
        </w:rPr>
        <w:t xml:space="preserve">The Base Budget review report agreed at Cabinet in August identified stage 3 </w:t>
      </w:r>
      <w:r w:rsidR="00285DA2">
        <w:rPr>
          <w:rFonts w:cs="Arial"/>
          <w:szCs w:val="24"/>
        </w:rPr>
        <w:t>of the review as the zero base from F</w:t>
      </w:r>
      <w:r>
        <w:t>ebruary,</w:t>
      </w:r>
      <w:r w:rsidR="00285DA2">
        <w:t xml:space="preserve"> when</w:t>
      </w:r>
      <w:r>
        <w:t xml:space="preserve"> detailed work wil</w:t>
      </w:r>
      <w:r w:rsidR="00285DA2">
        <w:t xml:space="preserve">l commence </w:t>
      </w:r>
      <w:r>
        <w:t>to undertake a fundamental line by line zero base budget review of all expenditure within the retained services.  This would also involve a review of the business model of how services are delivered to ensure the best value for money.  It is anticipated that this work w</w:t>
      </w:r>
      <w:r w:rsidR="00285DA2">
        <w:t>ill</w:t>
      </w:r>
      <w:r>
        <w:t xml:space="preserve"> release resources to </w:t>
      </w:r>
      <w:r w:rsidR="00285DA2">
        <w:t xml:space="preserve">help </w:t>
      </w:r>
      <w:r>
        <w:t xml:space="preserve">meet the budget shortfalls identified above.   </w:t>
      </w:r>
    </w:p>
    <w:p w:rsidR="003028F0" w:rsidRDefault="003028F0" w:rsidP="002840D7">
      <w:pPr>
        <w:pStyle w:val="NoSpacing"/>
        <w:jc w:val="both"/>
        <w:rPr>
          <w:rFonts w:ascii="Arial" w:hAnsi="Arial" w:cs="Arial"/>
          <w:sz w:val="24"/>
          <w:szCs w:val="24"/>
        </w:rPr>
      </w:pPr>
    </w:p>
    <w:p w:rsidR="00534160" w:rsidRDefault="00F77791" w:rsidP="00F77791">
      <w:pPr>
        <w:pStyle w:val="NoSpacing"/>
        <w:rPr>
          <w:rFonts w:ascii="Arial" w:hAnsi="Arial" w:cs="Arial"/>
          <w:b/>
          <w:sz w:val="24"/>
          <w:szCs w:val="24"/>
        </w:rPr>
      </w:pPr>
      <w:r>
        <w:rPr>
          <w:rFonts w:ascii="Arial" w:hAnsi="Arial" w:cs="Arial"/>
          <w:b/>
          <w:sz w:val="24"/>
          <w:szCs w:val="24"/>
        </w:rPr>
        <w:t xml:space="preserve">Specific Budget Proposals </w:t>
      </w:r>
    </w:p>
    <w:p w:rsidR="00736B7B" w:rsidRDefault="00736B7B" w:rsidP="00534160">
      <w:pPr>
        <w:pStyle w:val="NoSpacing"/>
        <w:jc w:val="both"/>
        <w:rPr>
          <w:rFonts w:ascii="Arial" w:hAnsi="Arial" w:cs="Arial"/>
          <w:b/>
          <w:sz w:val="24"/>
          <w:szCs w:val="24"/>
        </w:rPr>
      </w:pPr>
    </w:p>
    <w:p w:rsidR="00F77791" w:rsidRDefault="00736B7B" w:rsidP="00534160">
      <w:pPr>
        <w:pStyle w:val="NoSpacing"/>
        <w:jc w:val="both"/>
        <w:rPr>
          <w:rFonts w:ascii="Arial" w:hAnsi="Arial" w:cs="Arial"/>
          <w:sz w:val="24"/>
          <w:szCs w:val="24"/>
        </w:rPr>
      </w:pPr>
      <w:r w:rsidRPr="00736B7B">
        <w:rPr>
          <w:rFonts w:ascii="Arial" w:hAnsi="Arial" w:cs="Arial"/>
          <w:sz w:val="24"/>
          <w:szCs w:val="24"/>
        </w:rPr>
        <w:t>Attached at</w:t>
      </w:r>
      <w:r>
        <w:rPr>
          <w:rFonts w:ascii="Arial" w:hAnsi="Arial" w:cs="Arial"/>
          <w:b/>
          <w:sz w:val="24"/>
          <w:szCs w:val="24"/>
        </w:rPr>
        <w:t xml:space="preserve"> </w:t>
      </w:r>
      <w:r w:rsidR="00534160">
        <w:rPr>
          <w:rFonts w:ascii="Arial" w:hAnsi="Arial" w:cs="Arial"/>
          <w:sz w:val="24"/>
          <w:szCs w:val="24"/>
        </w:rPr>
        <w:t>Appendi</w:t>
      </w:r>
      <w:r>
        <w:rPr>
          <w:rFonts w:ascii="Arial" w:hAnsi="Arial" w:cs="Arial"/>
          <w:sz w:val="24"/>
          <w:szCs w:val="24"/>
        </w:rPr>
        <w:t>ces</w:t>
      </w:r>
      <w:r w:rsidR="00534160">
        <w:rPr>
          <w:rFonts w:ascii="Arial" w:hAnsi="Arial" w:cs="Arial"/>
          <w:sz w:val="24"/>
          <w:szCs w:val="24"/>
        </w:rPr>
        <w:t xml:space="preserve"> </w:t>
      </w:r>
      <w:r w:rsidR="000221C5">
        <w:rPr>
          <w:rFonts w:ascii="Arial" w:hAnsi="Arial" w:cs="Arial"/>
          <w:sz w:val="24"/>
          <w:szCs w:val="24"/>
        </w:rPr>
        <w:t>'</w:t>
      </w:r>
      <w:r w:rsidR="003E7F03">
        <w:rPr>
          <w:rFonts w:ascii="Arial" w:hAnsi="Arial" w:cs="Arial"/>
          <w:sz w:val="24"/>
          <w:szCs w:val="24"/>
        </w:rPr>
        <w:t>D</w:t>
      </w:r>
      <w:r w:rsidR="000221C5">
        <w:rPr>
          <w:rFonts w:ascii="Arial" w:hAnsi="Arial" w:cs="Arial"/>
          <w:sz w:val="24"/>
          <w:szCs w:val="24"/>
        </w:rPr>
        <w:t>'</w:t>
      </w:r>
      <w:r w:rsidR="003E7F03">
        <w:rPr>
          <w:rFonts w:ascii="Arial" w:hAnsi="Arial" w:cs="Arial"/>
          <w:sz w:val="24"/>
          <w:szCs w:val="24"/>
        </w:rPr>
        <w:t xml:space="preserve"> </w:t>
      </w:r>
      <w:r>
        <w:rPr>
          <w:rFonts w:ascii="Arial" w:hAnsi="Arial" w:cs="Arial"/>
          <w:sz w:val="24"/>
          <w:szCs w:val="24"/>
        </w:rPr>
        <w:t xml:space="preserve">and </w:t>
      </w:r>
      <w:r w:rsidR="000221C5">
        <w:rPr>
          <w:rFonts w:ascii="Arial" w:hAnsi="Arial" w:cs="Arial"/>
          <w:sz w:val="24"/>
          <w:szCs w:val="24"/>
        </w:rPr>
        <w:t>'</w:t>
      </w:r>
      <w:r>
        <w:rPr>
          <w:rFonts w:ascii="Arial" w:hAnsi="Arial" w:cs="Arial"/>
          <w:sz w:val="24"/>
          <w:szCs w:val="24"/>
        </w:rPr>
        <w:t>E</w:t>
      </w:r>
      <w:r w:rsidR="000221C5">
        <w:rPr>
          <w:rFonts w:ascii="Arial" w:hAnsi="Arial" w:cs="Arial"/>
          <w:sz w:val="24"/>
          <w:szCs w:val="24"/>
        </w:rPr>
        <w:t>'</w:t>
      </w:r>
      <w:r>
        <w:rPr>
          <w:rFonts w:ascii="Arial" w:hAnsi="Arial" w:cs="Arial"/>
          <w:sz w:val="24"/>
          <w:szCs w:val="24"/>
        </w:rPr>
        <w:t xml:space="preserve"> are specific budget proposals </w:t>
      </w:r>
      <w:r w:rsidR="00534160">
        <w:rPr>
          <w:rFonts w:ascii="Arial" w:hAnsi="Arial" w:cs="Arial"/>
          <w:sz w:val="24"/>
          <w:szCs w:val="24"/>
        </w:rPr>
        <w:t>which include a summary of the overall impact</w:t>
      </w:r>
      <w:r w:rsidR="003E7F03">
        <w:rPr>
          <w:rFonts w:ascii="Arial" w:hAnsi="Arial" w:cs="Arial"/>
          <w:sz w:val="24"/>
          <w:szCs w:val="24"/>
        </w:rPr>
        <w:t xml:space="preserve"> of all the proposals</w:t>
      </w:r>
      <w:r w:rsidR="00534160">
        <w:rPr>
          <w:rFonts w:ascii="Arial" w:hAnsi="Arial" w:cs="Arial"/>
          <w:sz w:val="24"/>
          <w:szCs w:val="24"/>
        </w:rPr>
        <w:t xml:space="preserve">.  A number of the proposals would take some lead-in time to deliver and </w:t>
      </w:r>
      <w:r w:rsidR="003E7F03">
        <w:rPr>
          <w:rFonts w:ascii="Arial" w:hAnsi="Arial" w:cs="Arial"/>
          <w:sz w:val="24"/>
          <w:szCs w:val="24"/>
        </w:rPr>
        <w:t xml:space="preserve">initial </w:t>
      </w:r>
      <w:r w:rsidR="00534160">
        <w:rPr>
          <w:rFonts w:ascii="Arial" w:hAnsi="Arial" w:cs="Arial"/>
          <w:sz w:val="24"/>
          <w:szCs w:val="24"/>
        </w:rPr>
        <w:t>estimate</w:t>
      </w:r>
      <w:r w:rsidR="003E7F03">
        <w:rPr>
          <w:rFonts w:ascii="Arial" w:hAnsi="Arial" w:cs="Arial"/>
          <w:sz w:val="24"/>
          <w:szCs w:val="24"/>
        </w:rPr>
        <w:t>s of</w:t>
      </w:r>
      <w:r w:rsidR="00534160">
        <w:rPr>
          <w:rFonts w:ascii="Arial" w:hAnsi="Arial" w:cs="Arial"/>
          <w:sz w:val="24"/>
          <w:szCs w:val="24"/>
        </w:rPr>
        <w:t xml:space="preserve"> reserve requirements to support the delivery of those savings has been identified where required.   </w:t>
      </w:r>
    </w:p>
    <w:p w:rsidR="00AB7F81" w:rsidRDefault="00AB7F81" w:rsidP="00534160">
      <w:pPr>
        <w:pStyle w:val="NoSpacing"/>
        <w:jc w:val="both"/>
        <w:rPr>
          <w:rFonts w:ascii="Arial" w:hAnsi="Arial" w:cs="Arial"/>
          <w:sz w:val="24"/>
          <w:szCs w:val="24"/>
        </w:rPr>
      </w:pPr>
    </w:p>
    <w:p w:rsidR="00534160" w:rsidRDefault="00534160" w:rsidP="00534160">
      <w:pPr>
        <w:pStyle w:val="NoSpacing"/>
        <w:jc w:val="both"/>
        <w:rPr>
          <w:rFonts w:ascii="Arial" w:hAnsi="Arial" w:cs="Arial"/>
          <w:sz w:val="24"/>
          <w:szCs w:val="24"/>
        </w:rPr>
      </w:pPr>
      <w:r>
        <w:rPr>
          <w:rFonts w:ascii="Arial" w:hAnsi="Arial" w:cs="Arial"/>
          <w:sz w:val="24"/>
          <w:szCs w:val="24"/>
        </w:rPr>
        <w:t xml:space="preserve">The table below sets out the summary position </w:t>
      </w:r>
      <w:r w:rsidR="00887000">
        <w:rPr>
          <w:rFonts w:ascii="Arial" w:hAnsi="Arial" w:cs="Arial"/>
          <w:sz w:val="24"/>
          <w:szCs w:val="24"/>
        </w:rPr>
        <w:t xml:space="preserve">of budget proposals </w:t>
      </w:r>
      <w:r>
        <w:rPr>
          <w:rFonts w:ascii="Arial" w:hAnsi="Arial" w:cs="Arial"/>
          <w:sz w:val="24"/>
          <w:szCs w:val="24"/>
        </w:rPr>
        <w:t>against the gap identified within the MTFS and the overall reserves requirement.</w:t>
      </w:r>
    </w:p>
    <w:p w:rsidR="00534160" w:rsidRDefault="00534160" w:rsidP="00534160">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3794"/>
        <w:gridCol w:w="1134"/>
        <w:gridCol w:w="1134"/>
      </w:tblGrid>
      <w:tr w:rsidR="00C428D8" w:rsidTr="00E87DF2">
        <w:trPr>
          <w:trHeight w:val="508"/>
        </w:trPr>
        <w:tc>
          <w:tcPr>
            <w:tcW w:w="3794" w:type="dxa"/>
          </w:tcPr>
          <w:p w:rsidR="00C428D8" w:rsidRDefault="00C428D8" w:rsidP="00534160">
            <w:pPr>
              <w:pStyle w:val="NoSpacing"/>
              <w:jc w:val="both"/>
              <w:rPr>
                <w:rFonts w:ascii="Arial" w:hAnsi="Arial" w:cs="Arial"/>
                <w:sz w:val="24"/>
                <w:szCs w:val="24"/>
              </w:rPr>
            </w:pPr>
          </w:p>
        </w:tc>
        <w:tc>
          <w:tcPr>
            <w:tcW w:w="1134" w:type="dxa"/>
          </w:tcPr>
          <w:p w:rsidR="00C428D8" w:rsidRPr="00E87DF2" w:rsidRDefault="00E87DF2" w:rsidP="00E87DF2">
            <w:pPr>
              <w:pStyle w:val="NoSpacing"/>
              <w:jc w:val="center"/>
              <w:rPr>
                <w:rFonts w:ascii="Arial" w:hAnsi="Arial" w:cs="Arial"/>
              </w:rPr>
            </w:pPr>
            <w:r w:rsidRPr="00E87DF2">
              <w:rPr>
                <w:rFonts w:ascii="Arial" w:hAnsi="Arial" w:cs="Arial"/>
              </w:rPr>
              <w:t>2016/17 £m</w:t>
            </w:r>
          </w:p>
        </w:tc>
        <w:tc>
          <w:tcPr>
            <w:tcW w:w="1134" w:type="dxa"/>
          </w:tcPr>
          <w:p w:rsidR="00C428D8" w:rsidRPr="00E87DF2" w:rsidRDefault="00E87DF2" w:rsidP="00E87DF2">
            <w:pPr>
              <w:pStyle w:val="NoSpacing"/>
              <w:jc w:val="center"/>
              <w:rPr>
                <w:rFonts w:ascii="Arial" w:hAnsi="Arial" w:cs="Arial"/>
              </w:rPr>
            </w:pPr>
            <w:r w:rsidRPr="00E87DF2">
              <w:rPr>
                <w:rFonts w:ascii="Arial" w:hAnsi="Arial" w:cs="Arial"/>
              </w:rPr>
              <w:t>2017/18 £m</w:t>
            </w:r>
          </w:p>
        </w:tc>
      </w:tr>
      <w:tr w:rsidR="00C428D8" w:rsidTr="00E87DF2">
        <w:tc>
          <w:tcPr>
            <w:tcW w:w="3794" w:type="dxa"/>
          </w:tcPr>
          <w:p w:rsidR="00C428D8" w:rsidRPr="00E87DF2" w:rsidRDefault="00E87DF2" w:rsidP="00534160">
            <w:pPr>
              <w:pStyle w:val="NoSpacing"/>
              <w:jc w:val="both"/>
              <w:rPr>
                <w:rFonts w:ascii="Arial" w:hAnsi="Arial" w:cs="Arial"/>
              </w:rPr>
            </w:pPr>
            <w:r w:rsidRPr="00E87DF2">
              <w:rPr>
                <w:rFonts w:ascii="Arial" w:hAnsi="Arial" w:cs="Arial"/>
              </w:rPr>
              <w:t>MTFS Funding Gap</w:t>
            </w:r>
          </w:p>
        </w:tc>
        <w:tc>
          <w:tcPr>
            <w:tcW w:w="1134" w:type="dxa"/>
          </w:tcPr>
          <w:p w:rsidR="00C428D8" w:rsidRPr="00E87DF2" w:rsidRDefault="00E87DF2" w:rsidP="0081782E">
            <w:pPr>
              <w:pStyle w:val="NoSpacing"/>
              <w:jc w:val="right"/>
              <w:rPr>
                <w:rFonts w:ascii="Arial" w:hAnsi="Arial" w:cs="Arial"/>
              </w:rPr>
            </w:pPr>
            <w:r>
              <w:rPr>
                <w:rFonts w:ascii="Arial" w:hAnsi="Arial" w:cs="Arial"/>
              </w:rPr>
              <w:t>9</w:t>
            </w:r>
            <w:r w:rsidR="0081782E">
              <w:rPr>
                <w:rFonts w:ascii="Arial" w:hAnsi="Arial" w:cs="Arial"/>
              </w:rPr>
              <w:t>0.2</w:t>
            </w:r>
          </w:p>
        </w:tc>
        <w:tc>
          <w:tcPr>
            <w:tcW w:w="1134" w:type="dxa"/>
          </w:tcPr>
          <w:p w:rsidR="00C428D8" w:rsidRPr="00E87DF2" w:rsidRDefault="00E87DF2" w:rsidP="00E87DF2">
            <w:pPr>
              <w:pStyle w:val="NoSpacing"/>
              <w:jc w:val="right"/>
              <w:rPr>
                <w:rFonts w:ascii="Arial" w:hAnsi="Arial" w:cs="Arial"/>
              </w:rPr>
            </w:pPr>
            <w:r>
              <w:rPr>
                <w:rFonts w:ascii="Arial" w:hAnsi="Arial" w:cs="Arial"/>
              </w:rPr>
              <w:t>112.1</w:t>
            </w:r>
          </w:p>
        </w:tc>
      </w:tr>
      <w:tr w:rsidR="00C428D8" w:rsidTr="00E87DF2">
        <w:tc>
          <w:tcPr>
            <w:tcW w:w="3794" w:type="dxa"/>
          </w:tcPr>
          <w:p w:rsidR="00C428D8" w:rsidRPr="00E87DF2" w:rsidRDefault="00E87DF2" w:rsidP="00534160">
            <w:pPr>
              <w:pStyle w:val="NoSpacing"/>
              <w:jc w:val="both"/>
              <w:rPr>
                <w:rFonts w:ascii="Arial" w:hAnsi="Arial" w:cs="Arial"/>
              </w:rPr>
            </w:pPr>
            <w:r w:rsidRPr="00E87DF2">
              <w:rPr>
                <w:rFonts w:ascii="Arial" w:hAnsi="Arial" w:cs="Arial"/>
              </w:rPr>
              <w:t>Savings Proposals</w:t>
            </w:r>
          </w:p>
        </w:tc>
        <w:tc>
          <w:tcPr>
            <w:tcW w:w="1134" w:type="dxa"/>
          </w:tcPr>
          <w:p w:rsidR="00C428D8" w:rsidRPr="00E87DF2" w:rsidRDefault="00E87DF2" w:rsidP="006F434D">
            <w:pPr>
              <w:pStyle w:val="NoSpacing"/>
              <w:jc w:val="right"/>
              <w:rPr>
                <w:rFonts w:ascii="Arial" w:hAnsi="Arial" w:cs="Arial"/>
              </w:rPr>
            </w:pPr>
            <w:r>
              <w:rPr>
                <w:rFonts w:ascii="Arial" w:hAnsi="Arial" w:cs="Arial"/>
              </w:rPr>
              <w:t>64.</w:t>
            </w:r>
            <w:r w:rsidR="006F434D">
              <w:rPr>
                <w:rFonts w:ascii="Arial" w:hAnsi="Arial" w:cs="Arial"/>
              </w:rPr>
              <w:t>2</w:t>
            </w:r>
          </w:p>
        </w:tc>
        <w:tc>
          <w:tcPr>
            <w:tcW w:w="1134" w:type="dxa"/>
          </w:tcPr>
          <w:p w:rsidR="00C428D8" w:rsidRPr="00E87DF2" w:rsidRDefault="00E87DF2" w:rsidP="0081782E">
            <w:pPr>
              <w:pStyle w:val="NoSpacing"/>
              <w:jc w:val="right"/>
              <w:rPr>
                <w:rFonts w:ascii="Arial" w:hAnsi="Arial" w:cs="Arial"/>
              </w:rPr>
            </w:pPr>
            <w:r>
              <w:rPr>
                <w:rFonts w:ascii="Arial" w:hAnsi="Arial" w:cs="Arial"/>
              </w:rPr>
              <w:t>0.</w:t>
            </w:r>
            <w:r w:rsidR="0081782E">
              <w:rPr>
                <w:rFonts w:ascii="Arial" w:hAnsi="Arial" w:cs="Arial"/>
              </w:rPr>
              <w:t>7</w:t>
            </w:r>
          </w:p>
        </w:tc>
      </w:tr>
      <w:tr w:rsidR="00C428D8" w:rsidTr="00E87DF2">
        <w:tc>
          <w:tcPr>
            <w:tcW w:w="3794" w:type="dxa"/>
          </w:tcPr>
          <w:p w:rsidR="00C428D8" w:rsidRPr="00E87DF2" w:rsidRDefault="00E87DF2" w:rsidP="00534160">
            <w:pPr>
              <w:pStyle w:val="NoSpacing"/>
              <w:jc w:val="both"/>
              <w:rPr>
                <w:rFonts w:ascii="Arial" w:hAnsi="Arial" w:cs="Arial"/>
              </w:rPr>
            </w:pPr>
            <w:r w:rsidRPr="00E87DF2">
              <w:rPr>
                <w:rFonts w:ascii="Arial" w:hAnsi="Arial" w:cs="Arial"/>
              </w:rPr>
              <w:t>Funding Gap if Proposals Agreed</w:t>
            </w:r>
          </w:p>
        </w:tc>
        <w:tc>
          <w:tcPr>
            <w:tcW w:w="1134" w:type="dxa"/>
          </w:tcPr>
          <w:p w:rsidR="00C428D8" w:rsidRPr="00E87DF2" w:rsidRDefault="0081782E" w:rsidP="006F434D">
            <w:pPr>
              <w:pStyle w:val="NoSpacing"/>
              <w:jc w:val="right"/>
              <w:rPr>
                <w:rFonts w:ascii="Arial" w:hAnsi="Arial" w:cs="Arial"/>
              </w:rPr>
            </w:pPr>
            <w:r>
              <w:rPr>
                <w:rFonts w:ascii="Arial" w:hAnsi="Arial" w:cs="Arial"/>
              </w:rPr>
              <w:t>2</w:t>
            </w:r>
            <w:r w:rsidR="006F434D">
              <w:rPr>
                <w:rFonts w:ascii="Arial" w:hAnsi="Arial" w:cs="Arial"/>
              </w:rPr>
              <w:t>6</w:t>
            </w:r>
            <w:r>
              <w:rPr>
                <w:rFonts w:ascii="Arial" w:hAnsi="Arial" w:cs="Arial"/>
              </w:rPr>
              <w:t>.</w:t>
            </w:r>
            <w:r w:rsidR="006F434D">
              <w:rPr>
                <w:rFonts w:ascii="Arial" w:hAnsi="Arial" w:cs="Arial"/>
              </w:rPr>
              <w:t>0</w:t>
            </w:r>
          </w:p>
        </w:tc>
        <w:tc>
          <w:tcPr>
            <w:tcW w:w="1134" w:type="dxa"/>
          </w:tcPr>
          <w:p w:rsidR="00C428D8" w:rsidRPr="00E87DF2" w:rsidRDefault="00E87DF2" w:rsidP="006F434D">
            <w:pPr>
              <w:pStyle w:val="NoSpacing"/>
              <w:jc w:val="right"/>
              <w:rPr>
                <w:rFonts w:ascii="Arial" w:hAnsi="Arial" w:cs="Arial"/>
              </w:rPr>
            </w:pPr>
            <w:r>
              <w:rPr>
                <w:rFonts w:ascii="Arial" w:hAnsi="Arial" w:cs="Arial"/>
              </w:rPr>
              <w:t>47.</w:t>
            </w:r>
            <w:r w:rsidR="006F434D">
              <w:rPr>
                <w:rFonts w:ascii="Arial" w:hAnsi="Arial" w:cs="Arial"/>
              </w:rPr>
              <w:t>2</w:t>
            </w:r>
          </w:p>
        </w:tc>
      </w:tr>
      <w:tr w:rsidR="00C428D8" w:rsidTr="00E87DF2">
        <w:tc>
          <w:tcPr>
            <w:tcW w:w="3794" w:type="dxa"/>
          </w:tcPr>
          <w:p w:rsidR="00C428D8" w:rsidRPr="00E87DF2" w:rsidRDefault="00E87DF2" w:rsidP="00534160">
            <w:pPr>
              <w:pStyle w:val="NoSpacing"/>
              <w:jc w:val="both"/>
              <w:rPr>
                <w:rFonts w:ascii="Arial" w:hAnsi="Arial" w:cs="Arial"/>
              </w:rPr>
            </w:pPr>
            <w:r w:rsidRPr="00E87DF2">
              <w:rPr>
                <w:rFonts w:ascii="Arial" w:hAnsi="Arial" w:cs="Arial"/>
              </w:rPr>
              <w:t>Estimated Reserve Requirement</w:t>
            </w:r>
            <w:r w:rsidR="00AB7F81">
              <w:rPr>
                <w:rFonts w:ascii="Arial" w:hAnsi="Arial" w:cs="Arial"/>
              </w:rPr>
              <w:t>*</w:t>
            </w:r>
          </w:p>
        </w:tc>
        <w:tc>
          <w:tcPr>
            <w:tcW w:w="1134" w:type="dxa"/>
          </w:tcPr>
          <w:p w:rsidR="00C428D8" w:rsidRPr="00E87DF2" w:rsidRDefault="0081782E" w:rsidP="00A56F70">
            <w:pPr>
              <w:pStyle w:val="NoSpacing"/>
              <w:jc w:val="right"/>
              <w:rPr>
                <w:rFonts w:ascii="Arial" w:hAnsi="Arial" w:cs="Arial"/>
              </w:rPr>
            </w:pPr>
            <w:r>
              <w:rPr>
                <w:rFonts w:ascii="Arial" w:hAnsi="Arial" w:cs="Arial"/>
              </w:rPr>
              <w:t>72.</w:t>
            </w:r>
            <w:r w:rsidR="00A56F70">
              <w:rPr>
                <w:rFonts w:ascii="Arial" w:hAnsi="Arial" w:cs="Arial"/>
              </w:rPr>
              <w:t>5</w:t>
            </w:r>
          </w:p>
        </w:tc>
        <w:tc>
          <w:tcPr>
            <w:tcW w:w="1134" w:type="dxa"/>
          </w:tcPr>
          <w:p w:rsidR="00C428D8" w:rsidRPr="00E87DF2" w:rsidRDefault="00E87DF2" w:rsidP="00AB7F81">
            <w:pPr>
              <w:pStyle w:val="NoSpacing"/>
              <w:jc w:val="right"/>
              <w:rPr>
                <w:rFonts w:ascii="Arial" w:hAnsi="Arial" w:cs="Arial"/>
              </w:rPr>
            </w:pPr>
            <w:r>
              <w:rPr>
                <w:rFonts w:ascii="Arial" w:hAnsi="Arial" w:cs="Arial"/>
              </w:rPr>
              <w:t>71.</w:t>
            </w:r>
            <w:r w:rsidR="00AB7F81">
              <w:rPr>
                <w:rFonts w:ascii="Arial" w:hAnsi="Arial" w:cs="Arial"/>
              </w:rPr>
              <w:t>5</w:t>
            </w:r>
          </w:p>
        </w:tc>
      </w:tr>
    </w:tbl>
    <w:p w:rsidR="00534160" w:rsidRDefault="00534160" w:rsidP="00534160">
      <w:pPr>
        <w:pStyle w:val="NoSpacing"/>
        <w:jc w:val="both"/>
        <w:rPr>
          <w:rFonts w:ascii="Arial" w:hAnsi="Arial" w:cs="Arial"/>
          <w:sz w:val="24"/>
          <w:szCs w:val="24"/>
        </w:rPr>
      </w:pPr>
    </w:p>
    <w:p w:rsidR="00A56F70" w:rsidRDefault="00AB7F81" w:rsidP="00AB7F81">
      <w:pPr>
        <w:tabs>
          <w:tab w:val="center" w:pos="4513"/>
          <w:tab w:val="right" w:pos="9026"/>
        </w:tabs>
        <w:rPr>
          <w:rFonts w:eastAsiaTheme="minorHAnsi"/>
          <w:i/>
          <w:sz w:val="20"/>
          <w:lang w:eastAsia="en-US"/>
        </w:rPr>
      </w:pPr>
      <w:proofErr w:type="gramStart"/>
      <w:r>
        <w:rPr>
          <w:rFonts w:cs="Arial"/>
        </w:rPr>
        <w:t>*</w:t>
      </w:r>
      <w:r>
        <w:rPr>
          <w:rFonts w:eastAsiaTheme="minorHAnsi"/>
          <w:i/>
          <w:sz w:val="20"/>
          <w:lang w:eastAsia="en-US"/>
        </w:rPr>
        <w:t xml:space="preserve">  </w:t>
      </w:r>
      <w:r w:rsidR="00C110A0">
        <w:rPr>
          <w:rFonts w:eastAsiaTheme="minorHAnsi"/>
          <w:i/>
          <w:sz w:val="20"/>
          <w:lang w:eastAsia="en-US"/>
        </w:rPr>
        <w:t>N</w:t>
      </w:r>
      <w:r w:rsidRPr="00AB7F81">
        <w:rPr>
          <w:rFonts w:eastAsiaTheme="minorHAnsi"/>
          <w:i/>
          <w:sz w:val="20"/>
          <w:lang w:eastAsia="en-US"/>
        </w:rPr>
        <w:t>ote</w:t>
      </w:r>
      <w:proofErr w:type="gramEnd"/>
      <w:r w:rsidR="00C110A0">
        <w:rPr>
          <w:rFonts w:eastAsiaTheme="minorHAnsi"/>
          <w:i/>
          <w:sz w:val="20"/>
          <w:lang w:eastAsia="en-US"/>
        </w:rPr>
        <w:t>:</w:t>
      </w:r>
      <w:r w:rsidRPr="00AB7F81">
        <w:rPr>
          <w:rFonts w:eastAsiaTheme="minorHAnsi"/>
          <w:i/>
          <w:sz w:val="20"/>
          <w:lang w:eastAsia="en-US"/>
        </w:rPr>
        <w:t xml:space="preserve"> following publication of the agenda on 16 November, 2015 the </w:t>
      </w:r>
      <w:r>
        <w:rPr>
          <w:rFonts w:eastAsiaTheme="minorHAnsi"/>
          <w:i/>
          <w:sz w:val="20"/>
          <w:lang w:eastAsia="en-US"/>
        </w:rPr>
        <w:t xml:space="preserve">estimated </w:t>
      </w:r>
      <w:r w:rsidRPr="00AB7F81">
        <w:rPr>
          <w:rFonts w:eastAsiaTheme="minorHAnsi"/>
          <w:i/>
          <w:sz w:val="20"/>
          <w:lang w:eastAsia="en-US"/>
        </w:rPr>
        <w:t xml:space="preserve">reserves requirement has been amended to include the proposed use of Council reserves in respect of BOP 052 (Cultural Services – Heritage and Arts) that was omitted by officers from the original report.   </w:t>
      </w:r>
    </w:p>
    <w:p w:rsidR="00A56F70" w:rsidRDefault="00A56F70" w:rsidP="00AB7F81">
      <w:pPr>
        <w:tabs>
          <w:tab w:val="center" w:pos="4513"/>
          <w:tab w:val="right" w:pos="9026"/>
        </w:tabs>
        <w:rPr>
          <w:rFonts w:eastAsiaTheme="minorHAnsi"/>
          <w:i/>
          <w:sz w:val="20"/>
          <w:lang w:eastAsia="en-US"/>
        </w:rPr>
      </w:pPr>
    </w:p>
    <w:p w:rsidR="00AB7F81" w:rsidRPr="00AB7F81" w:rsidRDefault="00A56F70" w:rsidP="00AB7F81">
      <w:pPr>
        <w:tabs>
          <w:tab w:val="center" w:pos="4513"/>
          <w:tab w:val="right" w:pos="9026"/>
        </w:tabs>
        <w:rPr>
          <w:rFonts w:eastAsiaTheme="minorHAnsi"/>
          <w:i/>
          <w:sz w:val="20"/>
          <w:lang w:eastAsia="en-US"/>
        </w:rPr>
      </w:pPr>
      <w:r>
        <w:rPr>
          <w:rFonts w:eastAsiaTheme="minorHAnsi"/>
          <w:i/>
          <w:sz w:val="20"/>
          <w:lang w:eastAsia="en-US"/>
        </w:rPr>
        <w:t xml:space="preserve">A further change was made to the BOP 52 proposal on 23 November.  This revision is now </w:t>
      </w:r>
      <w:bookmarkStart w:id="0" w:name="_GoBack"/>
      <w:bookmarkEnd w:id="0"/>
      <w:r>
        <w:rPr>
          <w:rFonts w:eastAsiaTheme="minorHAnsi"/>
          <w:i/>
          <w:sz w:val="20"/>
          <w:lang w:eastAsia="en-US"/>
        </w:rPr>
        <w:t xml:space="preserve">reflected in the above table.  </w:t>
      </w:r>
      <w:r w:rsidR="00AB7F81" w:rsidRPr="00AB7F81">
        <w:rPr>
          <w:rFonts w:eastAsiaTheme="minorHAnsi"/>
          <w:i/>
          <w:sz w:val="20"/>
          <w:lang w:eastAsia="en-US"/>
        </w:rPr>
        <w:t xml:space="preserve"> </w:t>
      </w:r>
    </w:p>
    <w:p w:rsidR="00AB7F81" w:rsidRDefault="00AB7F81" w:rsidP="00534160">
      <w:pPr>
        <w:pStyle w:val="NoSpacing"/>
        <w:jc w:val="both"/>
        <w:rPr>
          <w:rFonts w:ascii="Arial" w:hAnsi="Arial" w:cs="Arial"/>
          <w:sz w:val="24"/>
          <w:szCs w:val="24"/>
        </w:rPr>
      </w:pPr>
    </w:p>
    <w:p w:rsidR="003E7F03" w:rsidRDefault="00534160" w:rsidP="00534160">
      <w:pPr>
        <w:pStyle w:val="NoSpacing"/>
        <w:jc w:val="both"/>
        <w:rPr>
          <w:rFonts w:ascii="Arial" w:hAnsi="Arial" w:cs="Arial"/>
          <w:sz w:val="24"/>
          <w:szCs w:val="24"/>
        </w:rPr>
      </w:pPr>
      <w:r>
        <w:rPr>
          <w:rFonts w:ascii="Arial" w:hAnsi="Arial" w:cs="Arial"/>
          <w:sz w:val="24"/>
          <w:szCs w:val="24"/>
        </w:rPr>
        <w:t xml:space="preserve">Sufficient reserves to fund this requirement would need to be identified and allocated to meet the overall requirement </w:t>
      </w:r>
      <w:r w:rsidR="00E87DF2">
        <w:rPr>
          <w:rFonts w:ascii="Arial" w:hAnsi="Arial" w:cs="Arial"/>
          <w:sz w:val="24"/>
          <w:szCs w:val="24"/>
        </w:rPr>
        <w:t>to enable balanced budgets to be set in 2016/17 and 2017/18.  Proposals w</w:t>
      </w:r>
      <w:r w:rsidR="003E7F03">
        <w:rPr>
          <w:rFonts w:ascii="Arial" w:hAnsi="Arial" w:cs="Arial"/>
          <w:sz w:val="24"/>
          <w:szCs w:val="24"/>
        </w:rPr>
        <w:t>ill be brought to Cabinet at it</w:t>
      </w:r>
      <w:r w:rsidR="00E87DF2">
        <w:rPr>
          <w:rFonts w:ascii="Arial" w:hAnsi="Arial" w:cs="Arial"/>
          <w:sz w:val="24"/>
          <w:szCs w:val="24"/>
        </w:rPr>
        <w:t xml:space="preserve">s meeting in January to </w:t>
      </w:r>
      <w:r w:rsidR="003E7F03">
        <w:rPr>
          <w:rFonts w:ascii="Arial" w:hAnsi="Arial" w:cs="Arial"/>
          <w:sz w:val="24"/>
          <w:szCs w:val="24"/>
        </w:rPr>
        <w:t>agree a reprioritisation of current reserve commitments necessary to provide the identified resource requirement to support the revenue budget, which will include maximising the scope for prudential borrowing rather than revenue reserve funding of the capital programme.</w:t>
      </w:r>
    </w:p>
    <w:p w:rsidR="003E7F03" w:rsidRDefault="003E7F03" w:rsidP="00534160">
      <w:pPr>
        <w:pStyle w:val="NoSpacing"/>
        <w:jc w:val="both"/>
        <w:rPr>
          <w:rFonts w:ascii="Arial" w:hAnsi="Arial" w:cs="Arial"/>
          <w:sz w:val="24"/>
          <w:szCs w:val="24"/>
        </w:rPr>
      </w:pPr>
    </w:p>
    <w:p w:rsidR="00534160" w:rsidRDefault="00AC5AD3" w:rsidP="00534160">
      <w:pPr>
        <w:pStyle w:val="NoSpacing"/>
        <w:jc w:val="both"/>
        <w:rPr>
          <w:rFonts w:ascii="Arial" w:hAnsi="Arial" w:cs="Arial"/>
          <w:sz w:val="24"/>
          <w:szCs w:val="24"/>
        </w:rPr>
      </w:pPr>
      <w:r>
        <w:rPr>
          <w:rFonts w:ascii="Arial" w:hAnsi="Arial" w:cs="Arial"/>
          <w:sz w:val="24"/>
          <w:szCs w:val="24"/>
        </w:rPr>
        <w:t>In addition, s</w:t>
      </w:r>
      <w:r w:rsidR="003E7F03">
        <w:rPr>
          <w:rFonts w:ascii="Arial" w:hAnsi="Arial" w:cs="Arial"/>
          <w:sz w:val="24"/>
          <w:szCs w:val="24"/>
        </w:rPr>
        <w:t xml:space="preserve">everal budget proposals are also based on utilising the flexibility for services </w:t>
      </w:r>
      <w:r w:rsidR="0079072C">
        <w:rPr>
          <w:rFonts w:ascii="Arial" w:hAnsi="Arial" w:cs="Arial"/>
          <w:sz w:val="24"/>
          <w:szCs w:val="24"/>
        </w:rPr>
        <w:t>or staff to be funded via the capital programme</w:t>
      </w:r>
      <w:r>
        <w:rPr>
          <w:rFonts w:ascii="Arial" w:hAnsi="Arial" w:cs="Arial"/>
          <w:sz w:val="24"/>
          <w:szCs w:val="24"/>
        </w:rPr>
        <w:t>,</w:t>
      </w:r>
      <w:r w:rsidR="0079072C">
        <w:rPr>
          <w:rFonts w:ascii="Arial" w:hAnsi="Arial" w:cs="Arial"/>
          <w:sz w:val="24"/>
          <w:szCs w:val="24"/>
        </w:rPr>
        <w:t xml:space="preserve"> where th</w:t>
      </w:r>
      <w:r>
        <w:rPr>
          <w:rFonts w:ascii="Arial" w:hAnsi="Arial" w:cs="Arial"/>
          <w:sz w:val="24"/>
          <w:szCs w:val="24"/>
        </w:rPr>
        <w:t>e expenditure is agreed as being eligible under capital guidelines.  Cabinet will</w:t>
      </w:r>
      <w:r w:rsidR="00074AC7">
        <w:rPr>
          <w:rFonts w:ascii="Arial" w:hAnsi="Arial" w:cs="Arial"/>
          <w:sz w:val="24"/>
          <w:szCs w:val="24"/>
        </w:rPr>
        <w:t xml:space="preserve"> consider the overall </w:t>
      </w:r>
      <w:r w:rsidR="005A2E41">
        <w:rPr>
          <w:rFonts w:ascii="Arial" w:hAnsi="Arial" w:cs="Arial"/>
          <w:sz w:val="24"/>
          <w:szCs w:val="24"/>
        </w:rPr>
        <w:t>impact on the capital programme</w:t>
      </w:r>
      <w:r w:rsidR="007803AE">
        <w:rPr>
          <w:rFonts w:ascii="Arial" w:hAnsi="Arial" w:cs="Arial"/>
          <w:sz w:val="24"/>
          <w:szCs w:val="24"/>
        </w:rPr>
        <w:t xml:space="preserve"> of the budget proposals and </w:t>
      </w:r>
      <w:r w:rsidR="003E6B80">
        <w:rPr>
          <w:rFonts w:ascii="Arial" w:hAnsi="Arial" w:cs="Arial"/>
          <w:sz w:val="24"/>
          <w:szCs w:val="24"/>
        </w:rPr>
        <w:t xml:space="preserve">revenue </w:t>
      </w:r>
      <w:r w:rsidR="007803AE">
        <w:rPr>
          <w:rFonts w:ascii="Arial" w:hAnsi="Arial" w:cs="Arial"/>
          <w:sz w:val="24"/>
          <w:szCs w:val="24"/>
        </w:rPr>
        <w:t xml:space="preserve">reserve replacement at its meeting in January 2016.   </w:t>
      </w:r>
      <w:r>
        <w:rPr>
          <w:rFonts w:ascii="Arial" w:hAnsi="Arial" w:cs="Arial"/>
          <w:sz w:val="24"/>
          <w:szCs w:val="24"/>
        </w:rPr>
        <w:t xml:space="preserve">   </w:t>
      </w:r>
      <w:r w:rsidR="003E7F03">
        <w:rPr>
          <w:rFonts w:ascii="Arial" w:hAnsi="Arial" w:cs="Arial"/>
          <w:sz w:val="24"/>
          <w:szCs w:val="24"/>
        </w:rPr>
        <w:t xml:space="preserve">  </w:t>
      </w:r>
    </w:p>
    <w:p w:rsidR="00534160" w:rsidRDefault="00534160" w:rsidP="00534160">
      <w:pPr>
        <w:pStyle w:val="NoSpacing"/>
        <w:jc w:val="both"/>
        <w:rPr>
          <w:rFonts w:ascii="Arial" w:hAnsi="Arial" w:cs="Arial"/>
          <w:sz w:val="24"/>
          <w:szCs w:val="24"/>
        </w:rPr>
      </w:pPr>
    </w:p>
    <w:p w:rsidR="00C110A0" w:rsidRDefault="00C110A0" w:rsidP="00534160">
      <w:pPr>
        <w:pStyle w:val="NoSpacing"/>
        <w:jc w:val="both"/>
        <w:rPr>
          <w:rFonts w:ascii="Arial" w:hAnsi="Arial" w:cs="Arial"/>
          <w:sz w:val="24"/>
          <w:szCs w:val="24"/>
        </w:rPr>
      </w:pPr>
    </w:p>
    <w:p w:rsidR="00C110A0" w:rsidRDefault="00C110A0" w:rsidP="00534160">
      <w:pPr>
        <w:pStyle w:val="NoSpacing"/>
        <w:jc w:val="both"/>
        <w:rPr>
          <w:rFonts w:ascii="Arial" w:hAnsi="Arial" w:cs="Arial"/>
          <w:sz w:val="24"/>
          <w:szCs w:val="24"/>
        </w:rPr>
      </w:pPr>
    </w:p>
    <w:p w:rsidR="009E1964" w:rsidRDefault="009E1964">
      <w:pPr>
        <w:rPr>
          <w:b/>
        </w:rPr>
      </w:pPr>
      <w:r>
        <w:rPr>
          <w:b/>
        </w:rPr>
        <w:t>Consultations</w:t>
      </w:r>
    </w:p>
    <w:p w:rsidR="009E1964" w:rsidRDefault="009E1964">
      <w:pPr>
        <w:rPr>
          <w:b/>
        </w:rPr>
      </w:pPr>
    </w:p>
    <w:p w:rsidR="009E1964" w:rsidRDefault="004514C6" w:rsidP="00285DA2">
      <w:pPr>
        <w:jc w:val="both"/>
      </w:pPr>
      <w:r>
        <w:t>A number of the budget proposals will</w:t>
      </w:r>
      <w:r w:rsidR="006F434D">
        <w:t>,</w:t>
      </w:r>
      <w:r>
        <w:t xml:space="preserve"> because of the nature of </w:t>
      </w:r>
      <w:r w:rsidR="006F434D">
        <w:t xml:space="preserve">their </w:t>
      </w:r>
      <w:r>
        <w:t>potential impact on individuals and communities, be subject to specific consultations</w:t>
      </w:r>
      <w:r w:rsidR="006F434D">
        <w:t xml:space="preserve"> as set out in the proposals</w:t>
      </w:r>
      <w:r w:rsidR="00285DA2">
        <w:t xml:space="preserve"> regarding implementation</w:t>
      </w:r>
      <w:r>
        <w:t xml:space="preserve">. </w:t>
      </w:r>
    </w:p>
    <w:p w:rsidR="00285DA2" w:rsidRDefault="00285DA2"/>
    <w:p w:rsidR="00285DA2" w:rsidRDefault="00285DA2" w:rsidP="00285DA2">
      <w:pPr>
        <w:jc w:val="both"/>
      </w:pPr>
      <w:r>
        <w:t>A variety of stakeholders and partners, as set out below, will also be informed of the outcome of the Cabinet decisions.</w:t>
      </w:r>
    </w:p>
    <w:p w:rsidR="00A40EC2" w:rsidRDefault="00A40EC2"/>
    <w:p w:rsidR="00A40EC2" w:rsidRDefault="00A40EC2" w:rsidP="00A40EC2">
      <w:pPr>
        <w:numPr>
          <w:ilvl w:val="0"/>
          <w:numId w:val="14"/>
        </w:numPr>
        <w:jc w:val="both"/>
      </w:pPr>
      <w:r>
        <w:t>Lancashire County Council Elected Members</w:t>
      </w:r>
    </w:p>
    <w:p w:rsidR="00A40EC2" w:rsidRPr="00A136CD" w:rsidRDefault="00A40EC2" w:rsidP="00A40EC2">
      <w:pPr>
        <w:numPr>
          <w:ilvl w:val="0"/>
          <w:numId w:val="14"/>
        </w:numPr>
        <w:jc w:val="both"/>
      </w:pPr>
      <w:r w:rsidRPr="00A136CD">
        <w:t>The Office of the Police and Crime Commissioner</w:t>
      </w:r>
    </w:p>
    <w:p w:rsidR="00A40EC2" w:rsidRPr="00A136CD" w:rsidRDefault="00A40EC2" w:rsidP="00A40EC2">
      <w:pPr>
        <w:numPr>
          <w:ilvl w:val="0"/>
          <w:numId w:val="14"/>
        </w:numPr>
        <w:jc w:val="both"/>
      </w:pPr>
      <w:r w:rsidRPr="00A136CD">
        <w:t>The Lancashire Combined Fire Authority</w:t>
      </w:r>
    </w:p>
    <w:p w:rsidR="00A40EC2" w:rsidRPr="00A136CD" w:rsidRDefault="00A40EC2" w:rsidP="00A40EC2">
      <w:pPr>
        <w:numPr>
          <w:ilvl w:val="0"/>
          <w:numId w:val="14"/>
        </w:numPr>
        <w:jc w:val="both"/>
      </w:pPr>
      <w:r w:rsidRPr="00A136CD">
        <w:t>Recognised Trade Unions</w:t>
      </w:r>
    </w:p>
    <w:p w:rsidR="00A40EC2" w:rsidRPr="00A136CD" w:rsidRDefault="00A40EC2" w:rsidP="00A40EC2">
      <w:pPr>
        <w:numPr>
          <w:ilvl w:val="0"/>
          <w:numId w:val="14"/>
        </w:numPr>
        <w:jc w:val="both"/>
      </w:pPr>
      <w:r w:rsidRPr="00A136CD">
        <w:t>Borough, City and Unitary Councils in Lancashire</w:t>
      </w:r>
    </w:p>
    <w:p w:rsidR="00A40EC2" w:rsidRPr="00A136CD" w:rsidRDefault="00A40EC2" w:rsidP="00A40EC2">
      <w:pPr>
        <w:numPr>
          <w:ilvl w:val="0"/>
          <w:numId w:val="14"/>
        </w:numPr>
        <w:jc w:val="both"/>
      </w:pPr>
      <w:r w:rsidRPr="00A136CD">
        <w:t>Third Sector Lancashire</w:t>
      </w:r>
    </w:p>
    <w:p w:rsidR="00A40EC2" w:rsidRPr="00A136CD" w:rsidRDefault="00A40EC2" w:rsidP="00A40EC2">
      <w:pPr>
        <w:numPr>
          <w:ilvl w:val="0"/>
          <w:numId w:val="14"/>
        </w:numPr>
        <w:jc w:val="both"/>
      </w:pPr>
      <w:r>
        <w:t xml:space="preserve">Lancashire </w:t>
      </w:r>
      <w:r w:rsidRPr="00A136CD">
        <w:t xml:space="preserve">Association of </w:t>
      </w:r>
      <w:r>
        <w:t>Local Councils</w:t>
      </w:r>
      <w:r>
        <w:rPr>
          <w:rStyle w:val="CommentReference"/>
        </w:rPr>
        <w:t xml:space="preserve"> (LALC)</w:t>
      </w:r>
    </w:p>
    <w:p w:rsidR="00A40EC2" w:rsidRPr="00A136CD" w:rsidRDefault="00A40EC2" w:rsidP="00A40EC2">
      <w:pPr>
        <w:numPr>
          <w:ilvl w:val="0"/>
          <w:numId w:val="14"/>
        </w:numPr>
        <w:jc w:val="both"/>
      </w:pPr>
      <w:r w:rsidRPr="00A136CD">
        <w:t xml:space="preserve">Lancashire Safeguarding Children's </w:t>
      </w:r>
      <w:r w:rsidR="00CF2F78">
        <w:t xml:space="preserve">and Adults </w:t>
      </w:r>
      <w:r w:rsidRPr="00A136CD">
        <w:t>Board</w:t>
      </w:r>
      <w:r w:rsidR="00CF2F78">
        <w:t>s</w:t>
      </w:r>
    </w:p>
    <w:p w:rsidR="00A40EC2" w:rsidRDefault="00A40EC2" w:rsidP="00A40EC2">
      <w:pPr>
        <w:numPr>
          <w:ilvl w:val="0"/>
          <w:numId w:val="14"/>
        </w:numPr>
        <w:jc w:val="both"/>
      </w:pPr>
      <w:r w:rsidRPr="00A136CD">
        <w:t>Lancashire Care Association</w:t>
      </w:r>
    </w:p>
    <w:p w:rsidR="00A40EC2" w:rsidRPr="00A136CD" w:rsidRDefault="00A40EC2" w:rsidP="00A40EC2">
      <w:pPr>
        <w:numPr>
          <w:ilvl w:val="0"/>
          <w:numId w:val="14"/>
        </w:numPr>
        <w:jc w:val="both"/>
      </w:pPr>
      <w:r>
        <w:t>Lancashire Parent Carer Forum</w:t>
      </w:r>
    </w:p>
    <w:p w:rsidR="00A40EC2" w:rsidRPr="00A136CD" w:rsidRDefault="00A40EC2" w:rsidP="00A40EC2">
      <w:pPr>
        <w:numPr>
          <w:ilvl w:val="0"/>
          <w:numId w:val="14"/>
        </w:numPr>
        <w:jc w:val="both"/>
      </w:pPr>
      <w:r w:rsidRPr="00A136CD">
        <w:t>The Older People's Forum</w:t>
      </w:r>
    </w:p>
    <w:p w:rsidR="00A40EC2" w:rsidRPr="00A136CD" w:rsidRDefault="00A40EC2" w:rsidP="00A40EC2">
      <w:pPr>
        <w:numPr>
          <w:ilvl w:val="0"/>
          <w:numId w:val="14"/>
        </w:numPr>
        <w:jc w:val="both"/>
      </w:pPr>
      <w:r w:rsidRPr="00A136CD">
        <w:t>The Chamber of Commerce</w:t>
      </w:r>
    </w:p>
    <w:p w:rsidR="00A40EC2" w:rsidRPr="00A136CD" w:rsidRDefault="00A40EC2" w:rsidP="00A40EC2">
      <w:pPr>
        <w:numPr>
          <w:ilvl w:val="0"/>
          <w:numId w:val="14"/>
        </w:numPr>
        <w:jc w:val="both"/>
      </w:pPr>
      <w:r w:rsidRPr="00A136CD">
        <w:t>The Lancashire Enterprise Partnership</w:t>
      </w:r>
    </w:p>
    <w:p w:rsidR="00A40EC2" w:rsidRPr="00A136CD" w:rsidRDefault="00A40EC2" w:rsidP="00A40EC2">
      <w:pPr>
        <w:numPr>
          <w:ilvl w:val="0"/>
          <w:numId w:val="14"/>
        </w:numPr>
        <w:jc w:val="both"/>
      </w:pPr>
      <w:r w:rsidRPr="00A136CD">
        <w:t>Healthwatch Lancashire</w:t>
      </w:r>
    </w:p>
    <w:p w:rsidR="00A40EC2" w:rsidRPr="00A136CD" w:rsidRDefault="00A40EC2" w:rsidP="00A40EC2">
      <w:pPr>
        <w:numPr>
          <w:ilvl w:val="0"/>
          <w:numId w:val="14"/>
        </w:numPr>
        <w:jc w:val="both"/>
      </w:pPr>
      <w:r w:rsidRPr="00A136CD">
        <w:t>The Clinical Commissioning Groups</w:t>
      </w:r>
    </w:p>
    <w:p w:rsidR="00A40EC2" w:rsidRPr="0032631B" w:rsidRDefault="00A40EC2" w:rsidP="00A40EC2">
      <w:pPr>
        <w:numPr>
          <w:ilvl w:val="0"/>
          <w:numId w:val="14"/>
        </w:numPr>
        <w:jc w:val="both"/>
        <w:rPr>
          <w:b/>
        </w:rPr>
      </w:pPr>
      <w:r w:rsidRPr="00A136CD">
        <w:t>Young People's Engagement Forums</w:t>
      </w:r>
    </w:p>
    <w:p w:rsidR="00A40EC2" w:rsidRPr="00937FF7" w:rsidRDefault="00A40EC2" w:rsidP="00A40EC2">
      <w:pPr>
        <w:numPr>
          <w:ilvl w:val="0"/>
          <w:numId w:val="14"/>
        </w:numPr>
        <w:jc w:val="both"/>
        <w:rPr>
          <w:b/>
        </w:rPr>
      </w:pPr>
      <w:r>
        <w:t>Members of Parliament</w:t>
      </w:r>
    </w:p>
    <w:p w:rsidR="00A40EC2" w:rsidRPr="00937FF7" w:rsidRDefault="00A40EC2" w:rsidP="00A40EC2">
      <w:pPr>
        <w:numPr>
          <w:ilvl w:val="0"/>
          <w:numId w:val="14"/>
        </w:numPr>
        <w:jc w:val="both"/>
      </w:pPr>
      <w:r w:rsidRPr="00937FF7">
        <w:t>Society of Local Council Clerks</w:t>
      </w:r>
    </w:p>
    <w:p w:rsidR="00A40EC2" w:rsidRPr="00937FF7" w:rsidRDefault="00A40EC2" w:rsidP="00A40EC2">
      <w:pPr>
        <w:numPr>
          <w:ilvl w:val="0"/>
          <w:numId w:val="14"/>
        </w:numPr>
        <w:jc w:val="both"/>
      </w:pPr>
      <w:r w:rsidRPr="00937FF7">
        <w:t>MEPs</w:t>
      </w:r>
    </w:p>
    <w:p w:rsidR="00A40EC2" w:rsidRPr="00937FF7" w:rsidRDefault="00A40EC2" w:rsidP="00A40EC2">
      <w:pPr>
        <w:numPr>
          <w:ilvl w:val="0"/>
          <w:numId w:val="14"/>
        </w:numPr>
        <w:jc w:val="both"/>
      </w:pPr>
      <w:r w:rsidRPr="00937FF7">
        <w:t>NHS Hospital Trusts</w:t>
      </w:r>
    </w:p>
    <w:p w:rsidR="00A40EC2" w:rsidRDefault="00A40EC2" w:rsidP="00A40EC2">
      <w:pPr>
        <w:numPr>
          <w:ilvl w:val="0"/>
          <w:numId w:val="14"/>
        </w:numPr>
        <w:jc w:val="both"/>
      </w:pPr>
      <w:r w:rsidRPr="00937FF7">
        <w:t>HE/FE establishments</w:t>
      </w:r>
    </w:p>
    <w:p w:rsidR="00A40EC2" w:rsidRDefault="00A40EC2" w:rsidP="00A40EC2">
      <w:pPr>
        <w:numPr>
          <w:ilvl w:val="0"/>
          <w:numId w:val="14"/>
        </w:numPr>
        <w:jc w:val="both"/>
      </w:pPr>
      <w:r>
        <w:t xml:space="preserve">Commissioners on the Lancashire Fairness Commission </w:t>
      </w:r>
    </w:p>
    <w:p w:rsidR="00A40EC2" w:rsidRDefault="00A40EC2"/>
    <w:p w:rsidR="009E1964" w:rsidRDefault="009E1964">
      <w:r>
        <w:rPr>
          <w:b/>
        </w:rPr>
        <w:t>Implications</w:t>
      </w:r>
      <w:r>
        <w:t xml:space="preserve">: </w:t>
      </w:r>
    </w:p>
    <w:p w:rsidR="009E1964" w:rsidRDefault="009E1964"/>
    <w:p w:rsidR="009E1964" w:rsidRDefault="009E1964">
      <w:r>
        <w:t>This item has the following implications, as indicated:</w:t>
      </w:r>
    </w:p>
    <w:p w:rsidR="00A71918" w:rsidRDefault="00A71918"/>
    <w:p w:rsidR="00D83663" w:rsidRDefault="00D83663" w:rsidP="00D83663">
      <w:pPr>
        <w:rPr>
          <w:b/>
        </w:rPr>
      </w:pPr>
      <w:r w:rsidRPr="00E80F90">
        <w:rPr>
          <w:b/>
        </w:rPr>
        <w:t>Equality Act 2010</w:t>
      </w:r>
    </w:p>
    <w:p w:rsidR="00D83663" w:rsidRDefault="00D83663" w:rsidP="00D83663">
      <w:pPr>
        <w:rPr>
          <w:b/>
        </w:rPr>
      </w:pPr>
    </w:p>
    <w:p w:rsidR="0013045E" w:rsidRDefault="0013045E" w:rsidP="0013045E">
      <w:pPr>
        <w:jc w:val="both"/>
      </w:pPr>
      <w:r>
        <w:t xml:space="preserve">Members are asked to note that a separate report for this meeting has been prepared by </w:t>
      </w:r>
      <w:r w:rsidRPr="00984E83">
        <w:t>the Director of Governance, Finance and Public Services. The report outlines in detail our obligations in terms of the</w:t>
      </w:r>
      <w:r>
        <w:t xml:space="preserve"> Equality Act 2010 and specifically highlights section 149 of the act that refers to the </w:t>
      </w:r>
      <w:r w:rsidRPr="00984E83">
        <w:t>P</w:t>
      </w:r>
      <w:r>
        <w:t xml:space="preserve">ublic </w:t>
      </w:r>
      <w:r w:rsidRPr="00984E83">
        <w:t>S</w:t>
      </w:r>
      <w:r>
        <w:t xml:space="preserve">ector </w:t>
      </w:r>
      <w:r w:rsidRPr="00984E83">
        <w:t>E</w:t>
      </w:r>
      <w:r>
        <w:t xml:space="preserve">quality </w:t>
      </w:r>
      <w:r w:rsidRPr="00984E83">
        <w:t>D</w:t>
      </w:r>
      <w:r>
        <w:t xml:space="preserve">uty (PSED). In addition, the report </w:t>
      </w:r>
      <w:r w:rsidRPr="00984E83">
        <w:t>explains how the legislation is applied in practice</w:t>
      </w:r>
      <w:r>
        <w:t>.</w:t>
      </w:r>
    </w:p>
    <w:p w:rsidR="0013045E" w:rsidRDefault="0013045E" w:rsidP="0013045E"/>
    <w:p w:rsidR="0013045E" w:rsidRDefault="0013045E" w:rsidP="0013045E">
      <w:pPr>
        <w:jc w:val="both"/>
      </w:pPr>
      <w:r w:rsidRPr="00984E83">
        <w:t>For each of the prop</w:t>
      </w:r>
      <w:r>
        <w:t>osals outlined in Appendi</w:t>
      </w:r>
      <w:r w:rsidR="000221C5">
        <w:t>ces '</w:t>
      </w:r>
      <w:r>
        <w:t>D</w:t>
      </w:r>
      <w:r w:rsidR="000221C5">
        <w:t>' and 'E'</w:t>
      </w:r>
      <w:r>
        <w:t xml:space="preserve"> of this report a supporting </w:t>
      </w:r>
      <w:r w:rsidRPr="00984E83">
        <w:t xml:space="preserve">Equality Analysis has been prepared in </w:t>
      </w:r>
      <w:r>
        <w:t xml:space="preserve">relation to </w:t>
      </w:r>
      <w:r w:rsidRPr="00984E83">
        <w:t xml:space="preserve">our obligations in respect of the </w:t>
      </w:r>
      <w:r>
        <w:lastRenderedPageBreak/>
        <w:t xml:space="preserve">PSED. The Equality Analysis for each proposal is available electronically by hyperlink and hard copies of the documents have been provided to Political Groups and are also available in the Members' Retiring Room. Further hard copies can be made available on request.   Where the proposals outline that there is to be some form of consultation then the EA acknowledges that it will need to be updated following the results of any consultation.  In some cases, where the implementation date is not due until 2017, the analysis will identify that more data or information is required before the EA can be fully completed, to identify in more detail the likely/possible impacts and potential mitigating factors.  </w:t>
      </w:r>
    </w:p>
    <w:p w:rsidR="0013045E" w:rsidRDefault="0013045E" w:rsidP="0013045E"/>
    <w:p w:rsidR="00D83663" w:rsidRDefault="0013045E" w:rsidP="0013045E">
      <w:pPr>
        <w:jc w:val="both"/>
      </w:pPr>
      <w:r>
        <w:t>Some proposals will result in more negative impacts than others for example, Transport to Day Centres, S</w:t>
      </w:r>
      <w:r w:rsidRPr="00881B7D">
        <w:t>chools transport and Public Transport Services are likely to have a substantial impact on people with protected characteristics</w:t>
      </w:r>
      <w:r>
        <w:t>,</w:t>
      </w:r>
      <w:r w:rsidRPr="00881B7D">
        <w:t xml:space="preserve"> particularly older and younger</w:t>
      </w:r>
      <w:r>
        <w:t xml:space="preserve"> people, disabled people and, in the case of schools transport,</w:t>
      </w:r>
      <w:r w:rsidRPr="00881B7D">
        <w:t xml:space="preserve"> religion or belief</w:t>
      </w:r>
      <w:r>
        <w:t>. The combined or cumulative effect on groups of people with protected characteristics has also been identified but will again be updated in the light of consultation responses.</w:t>
      </w:r>
    </w:p>
    <w:p w:rsidR="003A5747" w:rsidRDefault="003A5747" w:rsidP="00FC04A2">
      <w:pPr>
        <w:rPr>
          <w:b/>
        </w:rPr>
      </w:pPr>
    </w:p>
    <w:p w:rsidR="009E1964" w:rsidRPr="00092B2F" w:rsidRDefault="009E1964" w:rsidP="00FC04A2">
      <w:pPr>
        <w:rPr>
          <w:b/>
        </w:rPr>
      </w:pPr>
      <w:r w:rsidRPr="00092B2F">
        <w:rPr>
          <w:b/>
        </w:rPr>
        <w:t>Risk management</w:t>
      </w:r>
    </w:p>
    <w:p w:rsidR="009E1964" w:rsidRDefault="009E1964" w:rsidP="00FC04A2"/>
    <w:p w:rsidR="009E1964" w:rsidRDefault="009E1964" w:rsidP="00BA537C">
      <w:pPr>
        <w:jc w:val="both"/>
      </w:pPr>
      <w:r w:rsidRPr="00A522D5">
        <w:t xml:space="preserve">The County Council's overall approach to </w:t>
      </w:r>
      <w:r w:rsidR="005818DD">
        <w:t xml:space="preserve">managing financial risks </w:t>
      </w:r>
      <w:r w:rsidRPr="00A522D5">
        <w:t xml:space="preserve">continues to be to </w:t>
      </w:r>
      <w:r w:rsidR="005818DD">
        <w:t>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rsidR="007803AE" w:rsidRDefault="007803AE" w:rsidP="00BA537C">
      <w:pPr>
        <w:jc w:val="both"/>
      </w:pPr>
    </w:p>
    <w:p w:rsidR="00DD43BF" w:rsidRDefault="00DD43BF" w:rsidP="00BA537C">
      <w:pPr>
        <w:jc w:val="both"/>
      </w:pPr>
      <w:r>
        <w:t>The financial risks that could affect the position outlined in the report primarily cover the following:</w:t>
      </w:r>
    </w:p>
    <w:p w:rsidR="00DD43BF" w:rsidRDefault="00DD43BF" w:rsidP="00BA537C">
      <w:pPr>
        <w:jc w:val="both"/>
      </w:pPr>
    </w:p>
    <w:p w:rsidR="00DD43BF" w:rsidRPr="00CF2F78" w:rsidRDefault="00DD43BF" w:rsidP="00BA537C">
      <w:pPr>
        <w:jc w:val="both"/>
        <w:rPr>
          <w:b/>
        </w:rPr>
      </w:pPr>
      <w:r w:rsidRPr="00CF2F78">
        <w:rPr>
          <w:b/>
        </w:rPr>
        <w:t>Level of Future Resources from Central Government</w:t>
      </w:r>
    </w:p>
    <w:p w:rsidR="00015C76" w:rsidRDefault="00015C76" w:rsidP="00BA537C">
      <w:pPr>
        <w:jc w:val="both"/>
      </w:pPr>
    </w:p>
    <w:p w:rsidR="00015C76" w:rsidRDefault="00015C76" w:rsidP="00BA537C">
      <w:pPr>
        <w:jc w:val="both"/>
      </w:pPr>
      <w:r>
        <w:t>Risks remain in relation to the level of resources the Council receives from the government in</w:t>
      </w:r>
      <w:r w:rsidR="00E1647D">
        <w:t xml:space="preserve"> terms of Revenue Support Grant and the impact of the statement by the Chancellor of the Exchequer regarding the retention of 100% business rates and the ending of RSG by the end of this Parliament.  At this point in time there is insufficient detailed information regarding the changes to amend the funding assumptions within the MTFS.  </w:t>
      </w:r>
      <w:r>
        <w:t xml:space="preserve"> </w:t>
      </w:r>
    </w:p>
    <w:p w:rsidR="00DD43BF" w:rsidRDefault="00DD43BF" w:rsidP="00BA537C">
      <w:pPr>
        <w:jc w:val="both"/>
      </w:pPr>
    </w:p>
    <w:p w:rsidR="00DD43BF" w:rsidRPr="00CF2F78" w:rsidRDefault="00DD43BF" w:rsidP="00BA537C">
      <w:pPr>
        <w:jc w:val="both"/>
        <w:rPr>
          <w:b/>
        </w:rPr>
      </w:pPr>
      <w:r w:rsidRPr="00CF2F78">
        <w:rPr>
          <w:b/>
        </w:rPr>
        <w:t>Demand</w:t>
      </w:r>
    </w:p>
    <w:p w:rsidR="005929AF" w:rsidRDefault="005929AF" w:rsidP="00BA537C">
      <w:pPr>
        <w:jc w:val="both"/>
      </w:pPr>
    </w:p>
    <w:p w:rsidR="005929AF" w:rsidRDefault="005929AF" w:rsidP="00BA537C">
      <w:pPr>
        <w:jc w:val="both"/>
      </w:pPr>
      <w:r>
        <w:t xml:space="preserve">There is continued pressure on the Council's budget, particularly around Adults and Childrens social care, and the most up to date demand forecast have been included.  However any increase in demand over above that forecast will add additional pressure to future years.  </w:t>
      </w:r>
    </w:p>
    <w:p w:rsidR="005929AF" w:rsidRDefault="005929AF" w:rsidP="00BA537C">
      <w:pPr>
        <w:jc w:val="both"/>
      </w:pPr>
    </w:p>
    <w:p w:rsidR="005929AF" w:rsidRPr="00CF2F78" w:rsidRDefault="005929AF" w:rsidP="00BA537C">
      <w:pPr>
        <w:jc w:val="both"/>
        <w:rPr>
          <w:b/>
        </w:rPr>
      </w:pPr>
      <w:r w:rsidRPr="00CF2F78">
        <w:rPr>
          <w:b/>
        </w:rPr>
        <w:t>Inflation</w:t>
      </w:r>
    </w:p>
    <w:p w:rsidR="005929AF" w:rsidRDefault="005929AF" w:rsidP="00BA537C">
      <w:pPr>
        <w:jc w:val="both"/>
      </w:pPr>
    </w:p>
    <w:p w:rsidR="00FC12BB" w:rsidRDefault="005929AF" w:rsidP="00BA537C">
      <w:pPr>
        <w:jc w:val="both"/>
      </w:pPr>
      <w:r>
        <w:t>A significant level of additional resource has been included in the MTFS, p</w:t>
      </w:r>
      <w:r w:rsidR="00FC12BB">
        <w:t>rimarily on contractual price increases and particularly on social care where there are nationally recognised funding issues in the residential an</w:t>
      </w:r>
      <w:r w:rsidR="00E1647D">
        <w:t>d</w:t>
      </w:r>
      <w:r w:rsidR="00FC12BB">
        <w:t xml:space="preserve"> domiciliary </w:t>
      </w:r>
      <w:r w:rsidR="00E1647D">
        <w:t xml:space="preserve">care </w:t>
      </w:r>
      <w:r w:rsidR="00FC12BB">
        <w:t xml:space="preserve">markets. In addition, </w:t>
      </w:r>
      <w:r w:rsidR="00FC12BB">
        <w:lastRenderedPageBreak/>
        <w:t xml:space="preserve">the MTFS includes estimates of the cost of increases that would enable independent sector providers to meet the additional costs of meeting new national living wage levels for their employees. </w:t>
      </w:r>
    </w:p>
    <w:p w:rsidR="00DD43BF" w:rsidRDefault="00FC12BB" w:rsidP="00BA537C">
      <w:pPr>
        <w:jc w:val="both"/>
      </w:pPr>
      <w:r>
        <w:t xml:space="preserve"> </w:t>
      </w:r>
    </w:p>
    <w:p w:rsidR="00DD43BF" w:rsidRPr="00CF2F78" w:rsidRDefault="005929AF" w:rsidP="00BA537C">
      <w:pPr>
        <w:jc w:val="both"/>
        <w:rPr>
          <w:b/>
        </w:rPr>
      </w:pPr>
      <w:r w:rsidRPr="00CF2F78">
        <w:rPr>
          <w:b/>
        </w:rPr>
        <w:t>Delivery</w:t>
      </w:r>
    </w:p>
    <w:p w:rsidR="00E1647D" w:rsidRDefault="00E1647D" w:rsidP="00BA537C">
      <w:pPr>
        <w:jc w:val="both"/>
      </w:pPr>
    </w:p>
    <w:p w:rsidR="00FC12BB" w:rsidRDefault="00FC12BB" w:rsidP="00BA537C">
      <w:pPr>
        <w:jc w:val="both"/>
      </w:pPr>
      <w:r>
        <w:t xml:space="preserve">The MTFS reflects the risk assessment of service offer and other agreed savings that have been now being assessed as being undeliverable.  </w:t>
      </w:r>
      <w:r w:rsidR="00E1647D">
        <w:t>c</w:t>
      </w:r>
      <w:r>
        <w:t>£</w:t>
      </w:r>
      <w:r w:rsidR="00E1647D">
        <w:t>148m</w:t>
      </w:r>
      <w:r>
        <w:t xml:space="preserve"> of existing agreed savings remains as needing to be delivered</w:t>
      </w:r>
      <w:r w:rsidR="00E1647D">
        <w:t xml:space="preserve"> in the period 2015/16 to 2017/18</w:t>
      </w:r>
      <w:r>
        <w:t xml:space="preserve"> to ensure the current forecast gap does not increase.  There are a significant number</w:t>
      </w:r>
      <w:r w:rsidR="003E71D4">
        <w:t xml:space="preserve"> of factors, both internal and external which may impact upon delivery and the impact of these on new </w:t>
      </w:r>
      <w:r w:rsidR="0099422F">
        <w:t xml:space="preserve">and existing </w:t>
      </w:r>
      <w:r w:rsidR="003E71D4">
        <w:t xml:space="preserve">budget proposals being taken forward will need to be clearly identified and minimised.  </w:t>
      </w:r>
    </w:p>
    <w:p w:rsidR="005929AF" w:rsidRDefault="005929AF" w:rsidP="00BA537C">
      <w:pPr>
        <w:jc w:val="both"/>
      </w:pPr>
    </w:p>
    <w:p w:rsidR="005929AF" w:rsidRPr="00CF2F78" w:rsidRDefault="005929AF" w:rsidP="00BA537C">
      <w:pPr>
        <w:jc w:val="both"/>
        <w:rPr>
          <w:b/>
        </w:rPr>
      </w:pPr>
      <w:r w:rsidRPr="00CF2F78">
        <w:rPr>
          <w:b/>
        </w:rPr>
        <w:t>Assessment of Reserves and Availability of one-off resources</w:t>
      </w:r>
    </w:p>
    <w:p w:rsidR="00E1647D" w:rsidRDefault="00E1647D" w:rsidP="00BA537C">
      <w:pPr>
        <w:jc w:val="both"/>
      </w:pPr>
    </w:p>
    <w:p w:rsidR="00E1647D" w:rsidRDefault="00E1647D" w:rsidP="00BA537C">
      <w:pPr>
        <w:jc w:val="both"/>
      </w:pPr>
      <w:r>
        <w:t xml:space="preserve">The Base Budget Review identified that there will be a requirement for revenue funding to support the revenue budget over the following two years.  </w:t>
      </w:r>
      <w:r w:rsidR="0099422F">
        <w:t>On 1 April 2015 the County Council had total reserves of £424.650, but £95.952m is held for schools and £25.954m relates to other organisational funds, leaving LCC available reserves of £302.744m.  Whilst the vast majority of the reserves are committed for various purposes or covering risks, only a proportion will be at a financially binding stage and sufficient reserve and one-off funding will need to be identified and committed in supporting the revenue budget in 2016/17 and 2017/18.</w:t>
      </w:r>
    </w:p>
    <w:p w:rsidR="00D83663" w:rsidRDefault="00D83663">
      <w:pPr>
        <w:pStyle w:val="Heading5"/>
        <w:rPr>
          <w:rFonts w:ascii="Arial" w:hAnsi="Arial"/>
          <w:u w:val="none"/>
        </w:rPr>
      </w:pPr>
    </w:p>
    <w:p w:rsidR="009E1964" w:rsidRDefault="009E1964">
      <w:pPr>
        <w:pStyle w:val="Heading5"/>
        <w:rPr>
          <w:rFonts w:ascii="Arial" w:hAnsi="Arial"/>
          <w:u w:val="none"/>
        </w:rPr>
      </w:pPr>
      <w:r>
        <w:rPr>
          <w:rFonts w:ascii="Arial" w:hAnsi="Arial"/>
          <w:u w:val="none"/>
        </w:rPr>
        <w:t>List of Background Papers</w:t>
      </w:r>
    </w:p>
    <w:p w:rsidR="009E1964" w:rsidRDefault="009E1964"/>
    <w:tbl>
      <w:tblPr>
        <w:tblW w:w="0" w:type="auto"/>
        <w:tblLayout w:type="fixed"/>
        <w:tblLook w:val="0000" w:firstRow="0" w:lastRow="0" w:firstColumn="0" w:lastColumn="0" w:noHBand="0" w:noVBand="0"/>
      </w:tblPr>
      <w:tblGrid>
        <w:gridCol w:w="3227"/>
        <w:gridCol w:w="2775"/>
        <w:gridCol w:w="3178"/>
      </w:tblGrid>
      <w:tr w:rsidR="009E1964">
        <w:trPr>
          <w:trHeight w:val="113"/>
        </w:trPr>
        <w:tc>
          <w:tcPr>
            <w:tcW w:w="3227" w:type="dxa"/>
          </w:tcPr>
          <w:p w:rsidR="009E1964" w:rsidRDefault="009E1964">
            <w:pPr>
              <w:pStyle w:val="Heading7"/>
              <w:rPr>
                <w:rFonts w:ascii="Arial" w:hAnsi="Arial"/>
                <w:u w:val="none"/>
              </w:rPr>
            </w:pPr>
            <w:r>
              <w:rPr>
                <w:rFonts w:ascii="Arial" w:hAnsi="Arial"/>
                <w:u w:val="none"/>
              </w:rPr>
              <w:t>Paper</w:t>
            </w:r>
          </w:p>
        </w:tc>
        <w:tc>
          <w:tcPr>
            <w:tcW w:w="2775" w:type="dxa"/>
          </w:tcPr>
          <w:p w:rsidR="009E1964" w:rsidRDefault="009E1964">
            <w:pPr>
              <w:pStyle w:val="Heading7"/>
              <w:rPr>
                <w:rFonts w:ascii="Arial" w:hAnsi="Arial"/>
                <w:u w:val="none"/>
              </w:rPr>
            </w:pPr>
            <w:r>
              <w:rPr>
                <w:rFonts w:ascii="Arial" w:hAnsi="Arial"/>
                <w:u w:val="none"/>
              </w:rPr>
              <w:t>Date</w:t>
            </w:r>
          </w:p>
        </w:tc>
        <w:tc>
          <w:tcPr>
            <w:tcW w:w="3178" w:type="dxa"/>
          </w:tcPr>
          <w:p w:rsidR="009E1964" w:rsidRDefault="00C01BD4">
            <w:pPr>
              <w:pStyle w:val="Heading7"/>
              <w:rPr>
                <w:rFonts w:ascii="Arial" w:hAnsi="Arial"/>
                <w:u w:val="none"/>
              </w:rPr>
            </w:pPr>
            <w:r>
              <w:rPr>
                <w:rFonts w:ascii="Arial" w:hAnsi="Arial"/>
                <w:u w:val="none"/>
              </w:rPr>
              <w:t>Contact</w:t>
            </w:r>
            <w:r w:rsidR="009E1964">
              <w:rPr>
                <w:rFonts w:ascii="Arial" w:hAnsi="Arial"/>
                <w:u w:val="none"/>
              </w:rPr>
              <w:t>/Tel</w:t>
            </w:r>
          </w:p>
        </w:tc>
      </w:tr>
      <w:tr w:rsidR="009E1964" w:rsidRPr="00C01BD4">
        <w:tc>
          <w:tcPr>
            <w:tcW w:w="3227" w:type="dxa"/>
          </w:tcPr>
          <w:p w:rsidR="00D35D07" w:rsidRDefault="00D35D07" w:rsidP="0068670D"/>
          <w:p w:rsidR="0068670D" w:rsidRDefault="005458BC" w:rsidP="0068670D">
            <w:r>
              <w:t>Budget Working P</w:t>
            </w:r>
            <w:r w:rsidR="00B85335" w:rsidRPr="00C01BD4">
              <w:t>apers</w:t>
            </w:r>
          </w:p>
          <w:p w:rsidR="0068670D" w:rsidRPr="00C01BD4" w:rsidRDefault="0068670D" w:rsidP="0068670D"/>
        </w:tc>
        <w:tc>
          <w:tcPr>
            <w:tcW w:w="2775" w:type="dxa"/>
          </w:tcPr>
          <w:p w:rsidR="009E1964" w:rsidRPr="00C01BD4" w:rsidRDefault="009E1964">
            <w:pPr>
              <w:pStyle w:val="Heading7"/>
              <w:rPr>
                <w:rFonts w:ascii="Arial" w:hAnsi="Arial"/>
              </w:rPr>
            </w:pPr>
          </w:p>
          <w:p w:rsidR="009E1964" w:rsidRPr="00C01BD4" w:rsidRDefault="00CF2F78" w:rsidP="00CF2F78">
            <w:r>
              <w:t>November</w:t>
            </w:r>
            <w:r w:rsidR="004D6E5E" w:rsidRPr="00C01BD4">
              <w:t xml:space="preserve"> 201</w:t>
            </w:r>
            <w:r w:rsidR="00C01BD4" w:rsidRPr="00C01BD4">
              <w:t>5</w:t>
            </w:r>
          </w:p>
        </w:tc>
        <w:tc>
          <w:tcPr>
            <w:tcW w:w="3178" w:type="dxa"/>
          </w:tcPr>
          <w:p w:rsidR="009E1964" w:rsidRPr="00C01BD4" w:rsidRDefault="009E1964">
            <w:pPr>
              <w:rPr>
                <w:u w:val="single"/>
              </w:rPr>
            </w:pPr>
          </w:p>
          <w:p w:rsidR="009E1964" w:rsidRDefault="0068670D" w:rsidP="000F08D6">
            <w:r>
              <w:t>Neil Kissock (01772 536154)</w:t>
            </w:r>
          </w:p>
          <w:p w:rsidR="00D35D07" w:rsidRDefault="00D35D07" w:rsidP="000F08D6">
            <w:r>
              <w:t>Abbi Leech (01772 530808)</w:t>
            </w:r>
          </w:p>
          <w:p w:rsidR="00D35D07" w:rsidRPr="00C01BD4" w:rsidRDefault="00D35D07" w:rsidP="000F08D6"/>
        </w:tc>
      </w:tr>
      <w:tr w:rsidR="009E1964" w:rsidTr="00C01BD4">
        <w:tc>
          <w:tcPr>
            <w:tcW w:w="9180" w:type="dxa"/>
            <w:gridSpan w:val="3"/>
            <w:shd w:val="clear" w:color="auto" w:fill="auto"/>
          </w:tcPr>
          <w:p w:rsidR="009E1964" w:rsidRPr="005458BC" w:rsidRDefault="009E1964">
            <w:pPr>
              <w:pStyle w:val="Heading7"/>
              <w:rPr>
                <w:rFonts w:ascii="Arial" w:hAnsi="Arial"/>
                <w:u w:val="none"/>
              </w:rPr>
            </w:pPr>
            <w:r w:rsidRPr="005458BC">
              <w:rPr>
                <w:rFonts w:ascii="Arial" w:hAnsi="Arial"/>
                <w:u w:val="none"/>
              </w:rPr>
              <w:t>Reason for inclusion in Part II, if appropriate</w:t>
            </w:r>
          </w:p>
          <w:p w:rsidR="009E1964" w:rsidRPr="00C01BD4" w:rsidRDefault="009E1964"/>
          <w:p w:rsidR="009E1964" w:rsidRDefault="009E1964" w:rsidP="008D5F59">
            <w:r w:rsidRPr="00C01BD4">
              <w:t>N/A</w:t>
            </w:r>
          </w:p>
        </w:tc>
      </w:tr>
    </w:tbl>
    <w:p w:rsidR="009E1964" w:rsidRDefault="009E1964"/>
    <w:sectPr w:rsidR="009E1964" w:rsidSect="00A41458">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BB" w:rsidRDefault="00FC12BB">
      <w:r>
        <w:separator/>
      </w:r>
    </w:p>
  </w:endnote>
  <w:endnote w:type="continuationSeparator" w:id="0">
    <w:p w:rsidR="00FC12BB" w:rsidRDefault="00FC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7DA53o00">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2BB">
      <w:tc>
        <w:tcPr>
          <w:tcW w:w="9243" w:type="dxa"/>
          <w:tcBorders>
            <w:top w:val="nil"/>
            <w:left w:val="nil"/>
            <w:bottom w:val="nil"/>
            <w:right w:val="nil"/>
          </w:tcBorders>
        </w:tcPr>
        <w:p w:rsidR="00FC12BB" w:rsidRDefault="00FC12BB">
          <w:pPr>
            <w:pStyle w:val="Footer"/>
            <w:tabs>
              <w:tab w:val="clear" w:pos="4153"/>
            </w:tabs>
            <w:ind w:right="-45"/>
            <w:jc w:val="right"/>
          </w:pPr>
        </w:p>
      </w:tc>
    </w:tr>
  </w:tbl>
  <w:p w:rsidR="00FC12BB" w:rsidRDefault="00FC12B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2BB">
      <w:tc>
        <w:tcPr>
          <w:tcW w:w="9243" w:type="dxa"/>
          <w:tcBorders>
            <w:top w:val="nil"/>
            <w:left w:val="nil"/>
            <w:bottom w:val="nil"/>
            <w:right w:val="nil"/>
          </w:tcBorders>
        </w:tcPr>
        <w:p w:rsidR="00FC12BB" w:rsidRDefault="00FC12BB" w:rsidP="004D419B">
          <w:pPr>
            <w:pStyle w:val="Footer"/>
            <w:tabs>
              <w:tab w:val="clear" w:pos="4153"/>
            </w:tabs>
            <w:ind w:right="-45"/>
            <w:jc w:val="right"/>
          </w:pPr>
        </w:p>
      </w:tc>
    </w:tr>
  </w:tbl>
  <w:p w:rsidR="00FC12BB" w:rsidRPr="0036487C" w:rsidRDefault="00FC12B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BB" w:rsidRDefault="00FC12BB">
      <w:r>
        <w:separator/>
      </w:r>
    </w:p>
  </w:footnote>
  <w:footnote w:type="continuationSeparator" w:id="0">
    <w:p w:rsidR="00FC12BB" w:rsidRDefault="00FC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1E5863"/>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992F90"/>
    <w:multiLevelType w:val="hybridMultilevel"/>
    <w:tmpl w:val="A8429B5C"/>
    <w:lvl w:ilvl="0" w:tplc="070CC2C6">
      <w:start w:val="7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47711"/>
    <w:multiLevelType w:val="hybridMultilevel"/>
    <w:tmpl w:val="5BFC40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AB23939"/>
    <w:multiLevelType w:val="hybridMultilevel"/>
    <w:tmpl w:val="EA9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6816"/>
    <w:multiLevelType w:val="hybridMultilevel"/>
    <w:tmpl w:val="D9866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DB509D0"/>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051FC"/>
    <w:multiLevelType w:val="hybridMultilevel"/>
    <w:tmpl w:val="F6CC9F4C"/>
    <w:lvl w:ilvl="0" w:tplc="AB3CBCC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10"/>
  </w:num>
  <w:num w:numId="6">
    <w:abstractNumId w:val="9"/>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15C76"/>
    <w:rsid w:val="000221C5"/>
    <w:rsid w:val="00037D36"/>
    <w:rsid w:val="00044A7B"/>
    <w:rsid w:val="00060B6F"/>
    <w:rsid w:val="00074AC7"/>
    <w:rsid w:val="000814D4"/>
    <w:rsid w:val="00092B2F"/>
    <w:rsid w:val="000A2747"/>
    <w:rsid w:val="000A5353"/>
    <w:rsid w:val="000A6693"/>
    <w:rsid w:val="000B7BFA"/>
    <w:rsid w:val="000C5E63"/>
    <w:rsid w:val="000D5720"/>
    <w:rsid w:val="000E2503"/>
    <w:rsid w:val="000E6DC4"/>
    <w:rsid w:val="000F08D6"/>
    <w:rsid w:val="000F6780"/>
    <w:rsid w:val="00103175"/>
    <w:rsid w:val="00123735"/>
    <w:rsid w:val="0012512F"/>
    <w:rsid w:val="001261D4"/>
    <w:rsid w:val="00126FB2"/>
    <w:rsid w:val="0013045E"/>
    <w:rsid w:val="00136587"/>
    <w:rsid w:val="00170A40"/>
    <w:rsid w:val="001737F6"/>
    <w:rsid w:val="00175722"/>
    <w:rsid w:val="001B01AC"/>
    <w:rsid w:val="001E0127"/>
    <w:rsid w:val="001E3145"/>
    <w:rsid w:val="001F6BBD"/>
    <w:rsid w:val="0022347B"/>
    <w:rsid w:val="00243E66"/>
    <w:rsid w:val="00244EA5"/>
    <w:rsid w:val="00251C96"/>
    <w:rsid w:val="00265F77"/>
    <w:rsid w:val="00266BB3"/>
    <w:rsid w:val="002677D9"/>
    <w:rsid w:val="00273CC5"/>
    <w:rsid w:val="00275E43"/>
    <w:rsid w:val="00283647"/>
    <w:rsid w:val="002840D7"/>
    <w:rsid w:val="00285DA2"/>
    <w:rsid w:val="0029335D"/>
    <w:rsid w:val="002A44DA"/>
    <w:rsid w:val="002B7F8E"/>
    <w:rsid w:val="002C0B0E"/>
    <w:rsid w:val="002C0CD3"/>
    <w:rsid w:val="002C20C9"/>
    <w:rsid w:val="002C2A26"/>
    <w:rsid w:val="002C72D7"/>
    <w:rsid w:val="002D5200"/>
    <w:rsid w:val="002D6123"/>
    <w:rsid w:val="002E4C5D"/>
    <w:rsid w:val="002F4BD4"/>
    <w:rsid w:val="003028F0"/>
    <w:rsid w:val="00313129"/>
    <w:rsid w:val="00313B3B"/>
    <w:rsid w:val="003254F5"/>
    <w:rsid w:val="0032631B"/>
    <w:rsid w:val="00326792"/>
    <w:rsid w:val="0032687F"/>
    <w:rsid w:val="0033076C"/>
    <w:rsid w:val="0033283C"/>
    <w:rsid w:val="00336AC0"/>
    <w:rsid w:val="00350443"/>
    <w:rsid w:val="00354C51"/>
    <w:rsid w:val="00356ADA"/>
    <w:rsid w:val="0036487C"/>
    <w:rsid w:val="00370DF6"/>
    <w:rsid w:val="00372DCB"/>
    <w:rsid w:val="003A3445"/>
    <w:rsid w:val="003A5747"/>
    <w:rsid w:val="003B14BF"/>
    <w:rsid w:val="003B1D7E"/>
    <w:rsid w:val="003B266C"/>
    <w:rsid w:val="003B48B7"/>
    <w:rsid w:val="003B4AE2"/>
    <w:rsid w:val="003B78A3"/>
    <w:rsid w:val="003C0A23"/>
    <w:rsid w:val="003E33E1"/>
    <w:rsid w:val="003E6B80"/>
    <w:rsid w:val="003E71D4"/>
    <w:rsid w:val="003E7F03"/>
    <w:rsid w:val="00400AFA"/>
    <w:rsid w:val="00413383"/>
    <w:rsid w:val="00413909"/>
    <w:rsid w:val="00450330"/>
    <w:rsid w:val="004514C6"/>
    <w:rsid w:val="004519CF"/>
    <w:rsid w:val="00454579"/>
    <w:rsid w:val="00455352"/>
    <w:rsid w:val="00456F94"/>
    <w:rsid w:val="00472BB8"/>
    <w:rsid w:val="00485B6A"/>
    <w:rsid w:val="004A32F3"/>
    <w:rsid w:val="004B5DD7"/>
    <w:rsid w:val="004C33E6"/>
    <w:rsid w:val="004C3503"/>
    <w:rsid w:val="004C6446"/>
    <w:rsid w:val="004D419B"/>
    <w:rsid w:val="004D6E5E"/>
    <w:rsid w:val="004E3304"/>
    <w:rsid w:val="004E70ED"/>
    <w:rsid w:val="004F0E44"/>
    <w:rsid w:val="004F18F3"/>
    <w:rsid w:val="005053CE"/>
    <w:rsid w:val="005058AE"/>
    <w:rsid w:val="00511796"/>
    <w:rsid w:val="00520B1E"/>
    <w:rsid w:val="005235D2"/>
    <w:rsid w:val="00533A22"/>
    <w:rsid w:val="00534160"/>
    <w:rsid w:val="005458BC"/>
    <w:rsid w:val="005476CF"/>
    <w:rsid w:val="005479B2"/>
    <w:rsid w:val="0055365C"/>
    <w:rsid w:val="00556419"/>
    <w:rsid w:val="00556F1C"/>
    <w:rsid w:val="00564687"/>
    <w:rsid w:val="00564A14"/>
    <w:rsid w:val="00580A4F"/>
    <w:rsid w:val="005818DD"/>
    <w:rsid w:val="00590EA8"/>
    <w:rsid w:val="005929AF"/>
    <w:rsid w:val="005A133D"/>
    <w:rsid w:val="005A2E41"/>
    <w:rsid w:val="005B135F"/>
    <w:rsid w:val="005C7295"/>
    <w:rsid w:val="005D1BBF"/>
    <w:rsid w:val="005E67F5"/>
    <w:rsid w:val="005F39D3"/>
    <w:rsid w:val="005F4385"/>
    <w:rsid w:val="0060036F"/>
    <w:rsid w:val="0064457D"/>
    <w:rsid w:val="00650BDA"/>
    <w:rsid w:val="00655131"/>
    <w:rsid w:val="00655504"/>
    <w:rsid w:val="00661FB0"/>
    <w:rsid w:val="00670BC1"/>
    <w:rsid w:val="00673EA7"/>
    <w:rsid w:val="0068670D"/>
    <w:rsid w:val="006A5F77"/>
    <w:rsid w:val="006B592A"/>
    <w:rsid w:val="006D0E11"/>
    <w:rsid w:val="006D3AFC"/>
    <w:rsid w:val="006E528E"/>
    <w:rsid w:val="006E7913"/>
    <w:rsid w:val="006F0238"/>
    <w:rsid w:val="006F434D"/>
    <w:rsid w:val="00701D64"/>
    <w:rsid w:val="00706DBA"/>
    <w:rsid w:val="00725AFC"/>
    <w:rsid w:val="007332BE"/>
    <w:rsid w:val="00736B7B"/>
    <w:rsid w:val="00740813"/>
    <w:rsid w:val="007456D3"/>
    <w:rsid w:val="007530EB"/>
    <w:rsid w:val="00772248"/>
    <w:rsid w:val="007803AE"/>
    <w:rsid w:val="00782B20"/>
    <w:rsid w:val="0079072C"/>
    <w:rsid w:val="007B0E60"/>
    <w:rsid w:val="007B1A7F"/>
    <w:rsid w:val="007B2407"/>
    <w:rsid w:val="007B4B06"/>
    <w:rsid w:val="007B4B0C"/>
    <w:rsid w:val="007B5200"/>
    <w:rsid w:val="007D043A"/>
    <w:rsid w:val="007D38AA"/>
    <w:rsid w:val="007E1D65"/>
    <w:rsid w:val="007E69F5"/>
    <w:rsid w:val="007F147F"/>
    <w:rsid w:val="00810485"/>
    <w:rsid w:val="00810E05"/>
    <w:rsid w:val="0081782E"/>
    <w:rsid w:val="00840A2B"/>
    <w:rsid w:val="00847D83"/>
    <w:rsid w:val="00857206"/>
    <w:rsid w:val="00857C17"/>
    <w:rsid w:val="0086519B"/>
    <w:rsid w:val="00874B49"/>
    <w:rsid w:val="00876C42"/>
    <w:rsid w:val="008835E3"/>
    <w:rsid w:val="008844FF"/>
    <w:rsid w:val="00885B3B"/>
    <w:rsid w:val="0088697C"/>
    <w:rsid w:val="00887000"/>
    <w:rsid w:val="00893FE3"/>
    <w:rsid w:val="0089543D"/>
    <w:rsid w:val="00896316"/>
    <w:rsid w:val="008B059B"/>
    <w:rsid w:val="008B411F"/>
    <w:rsid w:val="008B6D12"/>
    <w:rsid w:val="008C4F31"/>
    <w:rsid w:val="008C6256"/>
    <w:rsid w:val="008D5F59"/>
    <w:rsid w:val="008E3BC3"/>
    <w:rsid w:val="008E54B5"/>
    <w:rsid w:val="008F23D9"/>
    <w:rsid w:val="00905069"/>
    <w:rsid w:val="00911715"/>
    <w:rsid w:val="00923E5C"/>
    <w:rsid w:val="0093355E"/>
    <w:rsid w:val="00941776"/>
    <w:rsid w:val="0094216B"/>
    <w:rsid w:val="00947881"/>
    <w:rsid w:val="0095111A"/>
    <w:rsid w:val="00965370"/>
    <w:rsid w:val="00966E47"/>
    <w:rsid w:val="009750DD"/>
    <w:rsid w:val="00993234"/>
    <w:rsid w:val="0099422F"/>
    <w:rsid w:val="009A3360"/>
    <w:rsid w:val="009B2514"/>
    <w:rsid w:val="009C05C8"/>
    <w:rsid w:val="009E1964"/>
    <w:rsid w:val="009E640F"/>
    <w:rsid w:val="009F0477"/>
    <w:rsid w:val="009F69D0"/>
    <w:rsid w:val="00A02AA2"/>
    <w:rsid w:val="00A04615"/>
    <w:rsid w:val="00A05EDC"/>
    <w:rsid w:val="00A1551D"/>
    <w:rsid w:val="00A24D98"/>
    <w:rsid w:val="00A2745C"/>
    <w:rsid w:val="00A279DD"/>
    <w:rsid w:val="00A30C1A"/>
    <w:rsid w:val="00A353C1"/>
    <w:rsid w:val="00A40EC2"/>
    <w:rsid w:val="00A41458"/>
    <w:rsid w:val="00A470B1"/>
    <w:rsid w:val="00A522D5"/>
    <w:rsid w:val="00A550B3"/>
    <w:rsid w:val="00A56F70"/>
    <w:rsid w:val="00A6046D"/>
    <w:rsid w:val="00A71918"/>
    <w:rsid w:val="00A77637"/>
    <w:rsid w:val="00A965D9"/>
    <w:rsid w:val="00AA147E"/>
    <w:rsid w:val="00AB7F81"/>
    <w:rsid w:val="00AC4268"/>
    <w:rsid w:val="00AC5AD3"/>
    <w:rsid w:val="00AD2D4D"/>
    <w:rsid w:val="00AD6937"/>
    <w:rsid w:val="00AE2321"/>
    <w:rsid w:val="00AE47CE"/>
    <w:rsid w:val="00AF0F9F"/>
    <w:rsid w:val="00AF3C5C"/>
    <w:rsid w:val="00B0063D"/>
    <w:rsid w:val="00B05556"/>
    <w:rsid w:val="00B0700C"/>
    <w:rsid w:val="00B0724D"/>
    <w:rsid w:val="00B16FEC"/>
    <w:rsid w:val="00B17965"/>
    <w:rsid w:val="00B259B8"/>
    <w:rsid w:val="00B41596"/>
    <w:rsid w:val="00B422C4"/>
    <w:rsid w:val="00B44722"/>
    <w:rsid w:val="00B54086"/>
    <w:rsid w:val="00B56C13"/>
    <w:rsid w:val="00B72E8C"/>
    <w:rsid w:val="00B74EBA"/>
    <w:rsid w:val="00B828D6"/>
    <w:rsid w:val="00B85335"/>
    <w:rsid w:val="00B9620E"/>
    <w:rsid w:val="00B968DE"/>
    <w:rsid w:val="00BA537C"/>
    <w:rsid w:val="00BA5465"/>
    <w:rsid w:val="00BB2062"/>
    <w:rsid w:val="00BC5C0C"/>
    <w:rsid w:val="00BD1D32"/>
    <w:rsid w:val="00BD35AA"/>
    <w:rsid w:val="00C01BD4"/>
    <w:rsid w:val="00C106A1"/>
    <w:rsid w:val="00C110A0"/>
    <w:rsid w:val="00C16426"/>
    <w:rsid w:val="00C265AB"/>
    <w:rsid w:val="00C378B3"/>
    <w:rsid w:val="00C428D8"/>
    <w:rsid w:val="00C522C0"/>
    <w:rsid w:val="00C53B22"/>
    <w:rsid w:val="00C90F3B"/>
    <w:rsid w:val="00CC4D21"/>
    <w:rsid w:val="00CF2F78"/>
    <w:rsid w:val="00CF3417"/>
    <w:rsid w:val="00D12174"/>
    <w:rsid w:val="00D248F2"/>
    <w:rsid w:val="00D320CE"/>
    <w:rsid w:val="00D34E58"/>
    <w:rsid w:val="00D35D07"/>
    <w:rsid w:val="00D3793F"/>
    <w:rsid w:val="00D45214"/>
    <w:rsid w:val="00D452AE"/>
    <w:rsid w:val="00D477F0"/>
    <w:rsid w:val="00D548C9"/>
    <w:rsid w:val="00D62DE2"/>
    <w:rsid w:val="00D7557F"/>
    <w:rsid w:val="00D83663"/>
    <w:rsid w:val="00DC4AF5"/>
    <w:rsid w:val="00DD3868"/>
    <w:rsid w:val="00DD3B3E"/>
    <w:rsid w:val="00DD43BF"/>
    <w:rsid w:val="00DE3C10"/>
    <w:rsid w:val="00DF043B"/>
    <w:rsid w:val="00DF2594"/>
    <w:rsid w:val="00E02957"/>
    <w:rsid w:val="00E11FF8"/>
    <w:rsid w:val="00E140C9"/>
    <w:rsid w:val="00E1647D"/>
    <w:rsid w:val="00E2313B"/>
    <w:rsid w:val="00E24465"/>
    <w:rsid w:val="00E42122"/>
    <w:rsid w:val="00E5318D"/>
    <w:rsid w:val="00E53735"/>
    <w:rsid w:val="00E5514B"/>
    <w:rsid w:val="00E66BE3"/>
    <w:rsid w:val="00E82A39"/>
    <w:rsid w:val="00E87DF2"/>
    <w:rsid w:val="00E94860"/>
    <w:rsid w:val="00EA77A5"/>
    <w:rsid w:val="00EB46C3"/>
    <w:rsid w:val="00EB78BC"/>
    <w:rsid w:val="00EC6898"/>
    <w:rsid w:val="00EF2691"/>
    <w:rsid w:val="00EF2F58"/>
    <w:rsid w:val="00F01E06"/>
    <w:rsid w:val="00F102A1"/>
    <w:rsid w:val="00F224FF"/>
    <w:rsid w:val="00F27C37"/>
    <w:rsid w:val="00F6193B"/>
    <w:rsid w:val="00F619E7"/>
    <w:rsid w:val="00F63754"/>
    <w:rsid w:val="00F71D9A"/>
    <w:rsid w:val="00F77791"/>
    <w:rsid w:val="00F77C33"/>
    <w:rsid w:val="00F927DC"/>
    <w:rsid w:val="00F978E7"/>
    <w:rsid w:val="00FA1721"/>
    <w:rsid w:val="00FB0C96"/>
    <w:rsid w:val="00FB15E6"/>
    <w:rsid w:val="00FB5DA7"/>
    <w:rsid w:val="00FC04A2"/>
    <w:rsid w:val="00FC12BB"/>
    <w:rsid w:val="00FD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FFEAE-CB00-4152-A9C4-597FCB0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semiHidden/>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eil.kissock@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4ECD-E780-41D8-B9EB-32297A52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0</TotalTime>
  <Pages>8</Pages>
  <Words>2959</Words>
  <Characters>16192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Mather, Chris</cp:lastModifiedBy>
  <cp:revision>2</cp:revision>
  <cp:lastPrinted>2015-11-12T16:46:00Z</cp:lastPrinted>
  <dcterms:created xsi:type="dcterms:W3CDTF">2015-11-23T15:12:00Z</dcterms:created>
  <dcterms:modified xsi:type="dcterms:W3CDTF">2015-11-23T15:12:00Z</dcterms:modified>
</cp:coreProperties>
</file>